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81C0F" w14:textId="77777777" w:rsidR="00586BBB" w:rsidRPr="007846C3" w:rsidRDefault="00586BBB" w:rsidP="00D43E36">
      <w:pPr>
        <w:spacing w:after="0" w:line="264" w:lineRule="auto"/>
        <w:ind w:left="567"/>
        <w:jc w:val="center"/>
        <w:rPr>
          <w:rFonts w:ascii="Times New Roman" w:hAnsi="Times New Roman" w:cs="Times New Roman"/>
          <w:b/>
          <w:szCs w:val="24"/>
        </w:rPr>
      </w:pPr>
      <w:r w:rsidRPr="007846C3">
        <w:rPr>
          <w:rFonts w:ascii="Times New Roman" w:hAnsi="Times New Roman" w:cs="Times New Roman"/>
          <w:b/>
          <w:szCs w:val="24"/>
        </w:rPr>
        <w:t xml:space="preserve">Çok Anlamlılık ve Söz İçi Karşıtlık Bakımından “Şimden Gerü” Yapısı </w:t>
      </w:r>
    </w:p>
    <w:p w14:paraId="6FB92059" w14:textId="77777777" w:rsidR="007846C3" w:rsidRDefault="007846C3" w:rsidP="00D43E36">
      <w:pPr>
        <w:spacing w:after="0" w:line="264" w:lineRule="auto"/>
        <w:ind w:left="567"/>
        <w:jc w:val="center"/>
        <w:rPr>
          <w:rFonts w:ascii="Times New Roman" w:hAnsi="Times New Roman" w:cs="Times New Roman"/>
          <w:b/>
          <w:sz w:val="24"/>
          <w:szCs w:val="24"/>
        </w:rPr>
      </w:pPr>
      <w:r>
        <w:rPr>
          <w:rFonts w:ascii="Times New Roman" w:hAnsi="Times New Roman" w:cs="Times New Roman"/>
          <w:b/>
          <w:sz w:val="24"/>
          <w:szCs w:val="24"/>
        </w:rPr>
        <w:t>The Structure of “Şimden Gerü</w:t>
      </w:r>
      <w:r w:rsidRPr="00FD1616">
        <w:rPr>
          <w:rFonts w:ascii="Times New Roman" w:hAnsi="Times New Roman" w:cs="Times New Roman"/>
          <w:b/>
          <w:sz w:val="24"/>
          <w:szCs w:val="24"/>
        </w:rPr>
        <w:t xml:space="preserve">” in Terms of Polysemy and </w:t>
      </w:r>
      <w:r>
        <w:rPr>
          <w:rFonts w:ascii="Times New Roman" w:hAnsi="Times New Roman" w:cs="Times New Roman"/>
          <w:b/>
          <w:sz w:val="24"/>
          <w:szCs w:val="24"/>
        </w:rPr>
        <w:t>E</w:t>
      </w:r>
      <w:r w:rsidRPr="007846C3">
        <w:rPr>
          <w:rFonts w:ascii="Times New Roman" w:hAnsi="Times New Roman" w:cs="Times New Roman"/>
          <w:b/>
          <w:sz w:val="24"/>
          <w:szCs w:val="24"/>
        </w:rPr>
        <w:t>nantiosemi</w:t>
      </w:r>
    </w:p>
    <w:p w14:paraId="2C1AD950" w14:textId="77777777" w:rsidR="00FD1616" w:rsidRDefault="00FD1616" w:rsidP="00D43E36">
      <w:pPr>
        <w:spacing w:after="0" w:line="264" w:lineRule="auto"/>
        <w:ind w:left="567"/>
        <w:jc w:val="center"/>
        <w:rPr>
          <w:rFonts w:ascii="Times New Roman" w:hAnsi="Times New Roman" w:cs="Times New Roman"/>
          <w:b/>
          <w:sz w:val="24"/>
          <w:szCs w:val="24"/>
        </w:rPr>
      </w:pPr>
    </w:p>
    <w:p w14:paraId="4A3E4F16" w14:textId="77777777" w:rsidR="00586BBB" w:rsidRPr="00D43E36" w:rsidRDefault="00FD1616" w:rsidP="00D43E36">
      <w:pPr>
        <w:spacing w:after="120" w:line="264" w:lineRule="auto"/>
        <w:ind w:left="567"/>
        <w:jc w:val="center"/>
        <w:rPr>
          <w:rFonts w:ascii="Times New Roman" w:hAnsi="Times New Roman" w:cs="Times New Roman"/>
          <w:b/>
        </w:rPr>
      </w:pPr>
      <w:bookmarkStart w:id="0" w:name="_GoBack"/>
      <w:bookmarkEnd w:id="0"/>
      <w:r w:rsidRPr="00D43E36">
        <w:rPr>
          <w:rFonts w:ascii="Times New Roman" w:hAnsi="Times New Roman" w:cs="Times New Roman"/>
          <w:b/>
        </w:rPr>
        <w:t>Özet</w:t>
      </w:r>
    </w:p>
    <w:p w14:paraId="536CE9EA" w14:textId="77777777" w:rsidR="003C1477" w:rsidRPr="00D43E36" w:rsidRDefault="003C1477" w:rsidP="00D43E36">
      <w:pPr>
        <w:spacing w:after="120" w:line="264" w:lineRule="auto"/>
        <w:ind w:left="567"/>
        <w:jc w:val="center"/>
        <w:rPr>
          <w:rFonts w:ascii="Times New Roman" w:hAnsi="Times New Roman" w:cs="Times New Roman"/>
          <w:b/>
        </w:rPr>
      </w:pPr>
    </w:p>
    <w:p w14:paraId="14569791" w14:textId="77777777" w:rsidR="00586BBB" w:rsidRPr="00D43E36" w:rsidRDefault="00586BBB" w:rsidP="00D43E36">
      <w:pPr>
        <w:spacing w:after="120" w:line="264" w:lineRule="auto"/>
        <w:ind w:left="567"/>
        <w:jc w:val="both"/>
        <w:rPr>
          <w:rFonts w:ascii="Times New Roman" w:hAnsi="Times New Roman" w:cs="Times New Roman"/>
          <w:i/>
        </w:rPr>
      </w:pPr>
      <w:r w:rsidRPr="00D43E36">
        <w:rPr>
          <w:rFonts w:ascii="Times New Roman" w:hAnsi="Times New Roman" w:cs="Times New Roman"/>
          <w:i/>
        </w:rPr>
        <w:t>Çokanlamlılık (Alm. Polysemie, Mehrdeutigkeit, Fr. polysemie, İng. polysemy),</w:t>
      </w:r>
      <w:r w:rsidRPr="00D43E36">
        <w:rPr>
          <w:rFonts w:ascii="Times New Roman" w:hAnsi="Times New Roman" w:cs="Times New Roman"/>
        </w:rPr>
        <w:t xml:space="preserve"> bir gösterenin birçok gösterilen belirtmesi veya bir birimin birçok anlam içerme durumu olarak tanımlanır.  Çokanlamlılık sıklık kavramıyla yakından ilgilidir. En sık rastlanan birimler, çokanlamlılığın en yoğun düzeye ulaştığı öğelerdir. Sözün kullanıldığı her farklı alan farklı bir anlam demek olduğu için aynı söz altındaki farklı anlamlar ile çok anlamlılık ortaya çıkar. </w:t>
      </w:r>
    </w:p>
    <w:p w14:paraId="59015C2F" w14:textId="77777777" w:rsidR="00586BBB" w:rsidRPr="00D43E36" w:rsidRDefault="00586BBB" w:rsidP="00D43E36">
      <w:pPr>
        <w:spacing w:after="120" w:line="264" w:lineRule="auto"/>
        <w:ind w:left="567"/>
        <w:jc w:val="both"/>
        <w:rPr>
          <w:rFonts w:ascii="Times New Roman" w:hAnsi="Times New Roman" w:cs="Times New Roman"/>
        </w:rPr>
      </w:pPr>
      <w:r w:rsidRPr="00D43E36">
        <w:rPr>
          <w:rFonts w:ascii="Times New Roman" w:hAnsi="Times New Roman" w:cs="Times New Roman"/>
        </w:rPr>
        <w:t xml:space="preserve">Dilimizde </w:t>
      </w:r>
      <w:r w:rsidRPr="00D43E36">
        <w:rPr>
          <w:rFonts w:ascii="Times New Roman" w:hAnsi="Times New Roman" w:cs="Times New Roman"/>
          <w:i/>
        </w:rPr>
        <w:t>ters anlamlılık, karşıt anlamlılık, zıt anlamlılık</w:t>
      </w:r>
      <w:r w:rsidRPr="00D43E36">
        <w:rPr>
          <w:rFonts w:ascii="Times New Roman" w:hAnsi="Times New Roman" w:cs="Times New Roman"/>
        </w:rPr>
        <w:t xml:space="preserve">  </w:t>
      </w:r>
      <w:r w:rsidRPr="00D43E36">
        <w:rPr>
          <w:rFonts w:ascii="Times New Roman" w:hAnsi="Times New Roman" w:cs="Times New Roman"/>
          <w:i/>
        </w:rPr>
        <w:t>(Alm. antonymie, Fr. antonymie, İng. antonyme)</w:t>
      </w:r>
      <w:r w:rsidRPr="00D43E36">
        <w:rPr>
          <w:rFonts w:ascii="Times New Roman" w:hAnsi="Times New Roman" w:cs="Times New Roman"/>
        </w:rPr>
        <w:t xml:space="preserve"> terimleriyle karşılanan kavram ise genellikle birbirine karşıt anlam taşıyan sözcüklerin oluşturduğu anlam zıtlığı olarak tanımlanır. Ancak bazı çok anlamlı sözcüklerde anlam farklılaşmalarının değişik boyutlara ulaştığı, hatta sözcüğün kendi içerisinde çeşitli yönlerden karşıtlıklar barındırmaya başladığı görülür. Dilde çok anlamlı bazı sözcüklerde rastlanan bu durum, </w:t>
      </w:r>
      <w:r w:rsidRPr="00D43E36">
        <w:rPr>
          <w:rFonts w:ascii="Times New Roman" w:hAnsi="Times New Roman" w:cs="Times New Roman"/>
          <w:i/>
        </w:rPr>
        <w:t>söz içi karşıtlık (</w:t>
      </w:r>
      <w:r w:rsidR="00E1207D" w:rsidRPr="00D43E36">
        <w:rPr>
          <w:rFonts w:ascii="Times New Roman" w:hAnsi="Times New Roman" w:cs="Times New Roman"/>
          <w:i/>
        </w:rPr>
        <w:t>enantiosemi</w:t>
      </w:r>
      <w:r w:rsidRPr="00D43E36">
        <w:rPr>
          <w:rFonts w:ascii="Times New Roman" w:hAnsi="Times New Roman" w:cs="Times New Roman"/>
          <w:i/>
        </w:rPr>
        <w:t>)</w:t>
      </w:r>
      <w:r w:rsidRPr="00D43E36">
        <w:rPr>
          <w:rFonts w:ascii="Times New Roman" w:hAnsi="Times New Roman" w:cs="Times New Roman"/>
        </w:rPr>
        <w:t xml:space="preserve"> olarak adlandırılır. Bu, bir sözlük birimin en az iki anlamının birbirine ters düşmesi, şeklinde değerlendirilmektedir </w:t>
      </w:r>
    </w:p>
    <w:p w14:paraId="243A4DFE" w14:textId="77777777" w:rsidR="00586BBB" w:rsidRPr="00D43E36" w:rsidRDefault="00586BBB" w:rsidP="00D43E36">
      <w:pPr>
        <w:spacing w:after="120" w:line="264" w:lineRule="auto"/>
        <w:ind w:left="567"/>
        <w:jc w:val="both"/>
        <w:rPr>
          <w:rFonts w:ascii="Times New Roman" w:hAnsi="Times New Roman" w:cs="Times New Roman"/>
          <w:i/>
        </w:rPr>
      </w:pPr>
      <w:r w:rsidRPr="00D43E36">
        <w:rPr>
          <w:rFonts w:ascii="Times New Roman" w:hAnsi="Times New Roman" w:cs="Times New Roman"/>
        </w:rPr>
        <w:t>Söz içi karşıt anlamlılığın pek çok farklı formu ve nedenleri vardır. Dinar (2018), bunları 2 ana başlık altında değerlendirmiştir</w:t>
      </w:r>
      <w:r w:rsidRPr="00D43E36">
        <w:rPr>
          <w:rFonts w:ascii="Times New Roman" w:hAnsi="Times New Roman" w:cs="Times New Roman"/>
          <w:i/>
        </w:rPr>
        <w:t>. 1. Yalın Söz İçi Karşıtlık, 2. Bağlamsal Söz İçi Karşıtlık</w:t>
      </w:r>
      <w:r w:rsidRPr="00D43E36">
        <w:rPr>
          <w:rFonts w:ascii="Times New Roman" w:hAnsi="Times New Roman" w:cs="Times New Roman"/>
        </w:rPr>
        <w:t>.  Herhangi bir bağlama ihtiyaç duymayan ya da çok sınırlı bağlam içerisinde karşıtlık anlamını verebilen sözcükleri</w:t>
      </w:r>
      <w:r w:rsidRPr="00D43E36">
        <w:rPr>
          <w:rFonts w:ascii="Times New Roman" w:hAnsi="Times New Roman" w:cs="Times New Roman"/>
          <w:i/>
        </w:rPr>
        <w:t xml:space="preserve"> yalın söz içi karşıtlık </w:t>
      </w:r>
      <w:r w:rsidRPr="00D43E36">
        <w:rPr>
          <w:rFonts w:ascii="Times New Roman" w:hAnsi="Times New Roman" w:cs="Times New Roman"/>
        </w:rPr>
        <w:t xml:space="preserve">içerisinde değerlendirirken; bağlamsal söz içi karşıtlığın ise eşdizimlilik, iron vb. pek çok farklı sebebi bulunmaktadır. </w:t>
      </w:r>
    </w:p>
    <w:p w14:paraId="6BCED7B9" w14:textId="77777777" w:rsidR="00586BBB" w:rsidRPr="00D43E36" w:rsidRDefault="00586BBB" w:rsidP="00D43E36">
      <w:pPr>
        <w:spacing w:after="120" w:line="264" w:lineRule="auto"/>
        <w:ind w:left="567"/>
        <w:jc w:val="both"/>
        <w:rPr>
          <w:rFonts w:ascii="Times New Roman" w:hAnsi="Times New Roman" w:cs="Times New Roman"/>
        </w:rPr>
      </w:pPr>
      <w:r w:rsidRPr="00D43E36">
        <w:rPr>
          <w:rFonts w:ascii="Times New Roman" w:hAnsi="Times New Roman" w:cs="Times New Roman"/>
        </w:rPr>
        <w:lastRenderedPageBreak/>
        <w:t>Söz içi karşıt anlamlılık hem çok anlamlılık hem de bir karşıt anlamlılık unsurudur. Bu çalışmada “şimden gerü” yapısı ile tarihi metinlerde “kerü/kirü/gerü” sözcüğü hem çok anlamlılık hem de söz içi karşıtlık açısından ele alınacaktır. Bu bakımdan öncelikle “kerü/kirü/gerü” sözcüğünün etimolojisi incelenecek daha sonra tarihi metinlerde kerü/kirü/gerü”  sözcüğünün kullanım alanlarına, işlevlerine ve anlamlarına değinilecektir. Ardından “şimden gerü” yapısının söz içi karşıt anlamlılığı Eski Anadolu Türkçesi metinlerinden oluşturulan derlem üzerinden örneklerle açıklanacaktır.</w:t>
      </w:r>
    </w:p>
    <w:p w14:paraId="7936B4DD" w14:textId="77777777" w:rsidR="00586BBB" w:rsidRPr="00D43E36" w:rsidRDefault="00586BBB" w:rsidP="00D43E36">
      <w:pPr>
        <w:spacing w:after="120" w:line="264" w:lineRule="auto"/>
        <w:ind w:left="567"/>
        <w:jc w:val="both"/>
        <w:rPr>
          <w:rFonts w:ascii="Times New Roman" w:hAnsi="Times New Roman" w:cs="Times New Roman"/>
        </w:rPr>
      </w:pPr>
    </w:p>
    <w:p w14:paraId="42C5686A" w14:textId="77777777" w:rsidR="00586BBB" w:rsidRPr="00D43E36" w:rsidRDefault="00586BBB" w:rsidP="00D43E36">
      <w:pPr>
        <w:spacing w:after="120" w:line="264" w:lineRule="auto"/>
        <w:ind w:left="567"/>
        <w:jc w:val="both"/>
        <w:rPr>
          <w:rFonts w:ascii="Times New Roman" w:hAnsi="Times New Roman" w:cs="Times New Roman"/>
        </w:rPr>
      </w:pPr>
      <w:r w:rsidRPr="00D43E36">
        <w:rPr>
          <w:rFonts w:ascii="Times New Roman" w:hAnsi="Times New Roman" w:cs="Times New Roman"/>
          <w:b/>
        </w:rPr>
        <w:t>Anahtar Sözcükler:</w:t>
      </w:r>
      <w:r w:rsidRPr="00D43E36">
        <w:rPr>
          <w:rFonts w:ascii="Times New Roman" w:hAnsi="Times New Roman" w:cs="Times New Roman"/>
        </w:rPr>
        <w:t xml:space="preserve"> </w:t>
      </w:r>
      <w:r w:rsidR="00090479" w:rsidRPr="00D43E36">
        <w:rPr>
          <w:rFonts w:ascii="Times New Roman" w:hAnsi="Times New Roman" w:cs="Times New Roman"/>
        </w:rPr>
        <w:t xml:space="preserve">Eski Anadolu Türkçesi, çok anlamlılık, </w:t>
      </w:r>
      <w:r w:rsidRPr="00D43E36">
        <w:rPr>
          <w:rFonts w:ascii="Times New Roman" w:hAnsi="Times New Roman" w:cs="Times New Roman"/>
        </w:rPr>
        <w:t>şimden gerü</w:t>
      </w:r>
      <w:r w:rsidR="00090479" w:rsidRPr="00D43E36">
        <w:rPr>
          <w:rFonts w:ascii="Times New Roman" w:hAnsi="Times New Roman" w:cs="Times New Roman"/>
        </w:rPr>
        <w:t>, söz içi karşıtlık.</w:t>
      </w:r>
    </w:p>
    <w:p w14:paraId="2A43742A" w14:textId="77777777" w:rsidR="00FD1616" w:rsidRPr="00D43E36" w:rsidRDefault="00FD1616" w:rsidP="00D43E36">
      <w:pPr>
        <w:spacing w:after="120" w:line="264" w:lineRule="auto"/>
        <w:ind w:left="567"/>
        <w:jc w:val="both"/>
        <w:rPr>
          <w:rFonts w:ascii="Times New Roman" w:hAnsi="Times New Roman" w:cs="Times New Roman"/>
        </w:rPr>
      </w:pPr>
    </w:p>
    <w:p w14:paraId="78CC37EF" w14:textId="77777777" w:rsidR="00FD1616" w:rsidRPr="00D43E36" w:rsidRDefault="00FD1616" w:rsidP="00D43E36">
      <w:pPr>
        <w:spacing w:after="120" w:line="264" w:lineRule="auto"/>
        <w:ind w:left="567"/>
        <w:jc w:val="center"/>
        <w:rPr>
          <w:rFonts w:ascii="Times New Roman" w:hAnsi="Times New Roman" w:cs="Times New Roman"/>
          <w:b/>
        </w:rPr>
      </w:pPr>
      <w:r w:rsidRPr="00D43E36">
        <w:rPr>
          <w:rFonts w:ascii="Times New Roman" w:hAnsi="Times New Roman" w:cs="Times New Roman"/>
          <w:b/>
        </w:rPr>
        <w:t>Abstract</w:t>
      </w:r>
    </w:p>
    <w:p w14:paraId="558B556F" w14:textId="1DF3EA23" w:rsidR="00397CB6" w:rsidRPr="00397CB6" w:rsidRDefault="00397CB6" w:rsidP="00397CB6">
      <w:pPr>
        <w:spacing w:after="120" w:line="264" w:lineRule="auto"/>
        <w:ind w:left="567"/>
        <w:jc w:val="both"/>
        <w:rPr>
          <w:rFonts w:ascii="Times New Roman" w:hAnsi="Times New Roman" w:cs="Times New Roman"/>
          <w:i/>
          <w:lang w:val="en-US"/>
        </w:rPr>
      </w:pPr>
      <w:r w:rsidRPr="00397CB6">
        <w:rPr>
          <w:rFonts w:ascii="Times New Roman" w:hAnsi="Times New Roman" w:cs="Times New Roman"/>
          <w:i/>
          <w:lang w:val="en-US"/>
        </w:rPr>
        <w:t>Polysemity (Alm. Polysemie, Mehrdeutigkeit, Fr. polysemie, Tur. Çokanlamlılık)</w:t>
      </w:r>
      <w:r w:rsidRPr="00397CB6">
        <w:rPr>
          <w:rFonts w:ascii="Times New Roman" w:hAnsi="Times New Roman" w:cs="Times New Roman"/>
          <w:lang w:val="en-US"/>
        </w:rPr>
        <w:t xml:space="preserve"> is defined as the state in which a signifier has many indicated indications or a unit contains many meanings.  Polysemity is closely related to the concept of frequency. The most common units are those in which polysemity reaches its most intense level. Since each different field in which the word is used means a different meaning, polysemy emerges with different meanings under the same word. </w:t>
      </w:r>
    </w:p>
    <w:p w14:paraId="5D59706B" w14:textId="316A0E91" w:rsidR="00397CB6" w:rsidRPr="00397CB6" w:rsidRDefault="00397CB6" w:rsidP="00397CB6">
      <w:pPr>
        <w:spacing w:after="120" w:line="264" w:lineRule="auto"/>
        <w:ind w:left="567"/>
        <w:jc w:val="both"/>
        <w:rPr>
          <w:rFonts w:ascii="Times New Roman" w:hAnsi="Times New Roman" w:cs="Times New Roman"/>
          <w:lang w:val="en-US"/>
        </w:rPr>
      </w:pPr>
      <w:r w:rsidRPr="00397CB6">
        <w:rPr>
          <w:rFonts w:ascii="Times New Roman" w:hAnsi="Times New Roman" w:cs="Times New Roman"/>
          <w:lang w:val="en-US"/>
        </w:rPr>
        <w:t>In our language, the concept that is met with the term</w:t>
      </w:r>
      <w:r w:rsidRPr="00397CB6">
        <w:rPr>
          <w:rFonts w:ascii="Times New Roman" w:hAnsi="Times New Roman" w:cs="Times New Roman"/>
          <w:i/>
          <w:lang w:val="en-US"/>
        </w:rPr>
        <w:t xml:space="preserve"> anonymity (Alm. antonymie, Fr. antonymie, Tur. ters anlamlılık, karşıt anlamlılık, zıt anlamlılık)</w:t>
      </w:r>
      <w:r w:rsidRPr="00397CB6">
        <w:rPr>
          <w:rFonts w:ascii="Times New Roman" w:hAnsi="Times New Roman" w:cs="Times New Roman"/>
          <w:lang w:val="en-US"/>
        </w:rPr>
        <w:t xml:space="preserve"> is generally defined as the antonym of words with opposite meanings. However, in some polysemous words, it is seen that the differentiation of meaning reaches different dimensions, and even the word itself begins to contain contradictions in various aspects. This situation, which is found in some polysemous words in </w:t>
      </w:r>
      <w:r w:rsidR="00E16F50">
        <w:rPr>
          <w:rFonts w:ascii="Times New Roman" w:hAnsi="Times New Roman" w:cs="Times New Roman"/>
          <w:lang w:val="en-US"/>
        </w:rPr>
        <w:t xml:space="preserve">a </w:t>
      </w:r>
      <w:r w:rsidRPr="00397CB6">
        <w:rPr>
          <w:rFonts w:ascii="Times New Roman" w:hAnsi="Times New Roman" w:cs="Times New Roman"/>
          <w:lang w:val="en-US"/>
        </w:rPr>
        <w:t xml:space="preserve">language, is called </w:t>
      </w:r>
      <w:r w:rsidRPr="00397CB6">
        <w:rPr>
          <w:rFonts w:ascii="Times New Roman" w:hAnsi="Times New Roman" w:cs="Times New Roman"/>
          <w:i/>
          <w:lang w:val="en-US"/>
        </w:rPr>
        <w:t>enantiosemia</w:t>
      </w:r>
      <w:r w:rsidRPr="00397CB6">
        <w:rPr>
          <w:rFonts w:ascii="Times New Roman" w:hAnsi="Times New Roman" w:cs="Times New Roman"/>
          <w:lang w:val="en-US"/>
        </w:rPr>
        <w:t xml:space="preserve">. This is considered to mean that at least two meanings of a dictionary unit contradict each other </w:t>
      </w:r>
    </w:p>
    <w:p w14:paraId="4B3AA4B1" w14:textId="77777777" w:rsidR="00397CB6" w:rsidRPr="00397CB6" w:rsidRDefault="00397CB6" w:rsidP="00397CB6">
      <w:pPr>
        <w:spacing w:after="120" w:line="264" w:lineRule="auto"/>
        <w:ind w:left="567"/>
        <w:jc w:val="both"/>
        <w:rPr>
          <w:rFonts w:ascii="Times New Roman" w:hAnsi="Times New Roman" w:cs="Times New Roman"/>
          <w:i/>
          <w:lang w:val="en-US"/>
        </w:rPr>
      </w:pPr>
      <w:r w:rsidRPr="00397CB6">
        <w:rPr>
          <w:rFonts w:ascii="Times New Roman" w:hAnsi="Times New Roman" w:cs="Times New Roman"/>
          <w:lang w:val="en-US"/>
        </w:rPr>
        <w:lastRenderedPageBreak/>
        <w:t>There are many different forms and causes of enantiosemia. Dinar (2018) evaluated them under 2 main headings</w:t>
      </w:r>
      <w:r w:rsidRPr="00397CB6">
        <w:rPr>
          <w:rFonts w:ascii="Times New Roman" w:hAnsi="Times New Roman" w:cs="Times New Roman"/>
          <w:i/>
          <w:lang w:val="en-US"/>
        </w:rPr>
        <w:t>. 1. Simple Intraverbal Contrast, 2. Contextual Intraverbal Contrast</w:t>
      </w:r>
      <w:r w:rsidRPr="00397CB6">
        <w:rPr>
          <w:rFonts w:ascii="Times New Roman" w:hAnsi="Times New Roman" w:cs="Times New Roman"/>
          <w:lang w:val="en-US"/>
        </w:rPr>
        <w:t>.  When evaluating words that do not need any context or that can give the meaning of opposition in a very limited context in</w:t>
      </w:r>
      <w:r w:rsidRPr="00397CB6">
        <w:rPr>
          <w:rFonts w:ascii="Times New Roman" w:hAnsi="Times New Roman" w:cs="Times New Roman"/>
          <w:i/>
          <w:lang w:val="en-US"/>
        </w:rPr>
        <w:t xml:space="preserve"> simple intraverbal contrast</w:t>
      </w:r>
      <w:r w:rsidRPr="00397CB6">
        <w:rPr>
          <w:rFonts w:ascii="Times New Roman" w:hAnsi="Times New Roman" w:cs="Times New Roman"/>
          <w:lang w:val="en-US"/>
        </w:rPr>
        <w:t xml:space="preserve">; contextual rhetorical contrast has many different causes, such as collocations, irony, etc. </w:t>
      </w:r>
    </w:p>
    <w:p w14:paraId="23CD02C1" w14:textId="2D568FEF" w:rsidR="00397CB6" w:rsidRPr="00397CB6" w:rsidRDefault="00397CB6" w:rsidP="00397CB6">
      <w:pPr>
        <w:spacing w:after="120" w:line="264" w:lineRule="auto"/>
        <w:ind w:left="567"/>
        <w:jc w:val="both"/>
        <w:rPr>
          <w:rFonts w:ascii="Times New Roman" w:hAnsi="Times New Roman" w:cs="Times New Roman"/>
          <w:lang w:val="en-US"/>
        </w:rPr>
      </w:pPr>
      <w:r w:rsidRPr="00397CB6">
        <w:rPr>
          <w:rFonts w:ascii="Times New Roman" w:hAnsi="Times New Roman" w:cs="Times New Roman"/>
          <w:lang w:val="en-US"/>
        </w:rPr>
        <w:t>Intraverbal antonym is both a polysemy and an antonym element. In this study, the "şimden gerü" structure and the word "kerü/kirü/gerü" in historical texts will be discussed in terms of both polysemy and intraverbal contrast. In this respect, first of all, the etymology of the word "kerü/kirü/gerü" will be examined</w:t>
      </w:r>
      <w:r w:rsidR="00E16F50">
        <w:rPr>
          <w:rFonts w:ascii="Times New Roman" w:hAnsi="Times New Roman" w:cs="Times New Roman"/>
          <w:lang w:val="en-US"/>
        </w:rPr>
        <w:t>,</w:t>
      </w:r>
      <w:r w:rsidRPr="00397CB6">
        <w:rPr>
          <w:rFonts w:ascii="Times New Roman" w:hAnsi="Times New Roman" w:cs="Times New Roman"/>
          <w:lang w:val="en-US"/>
        </w:rPr>
        <w:t xml:space="preserve"> and then the uses, functions</w:t>
      </w:r>
      <w:r w:rsidR="00E16F50">
        <w:rPr>
          <w:rFonts w:ascii="Times New Roman" w:hAnsi="Times New Roman" w:cs="Times New Roman"/>
          <w:lang w:val="en-US"/>
        </w:rPr>
        <w:t>,</w:t>
      </w:r>
      <w:r w:rsidRPr="00397CB6">
        <w:rPr>
          <w:rFonts w:ascii="Times New Roman" w:hAnsi="Times New Roman" w:cs="Times New Roman"/>
          <w:lang w:val="en-US"/>
        </w:rPr>
        <w:t xml:space="preserve"> and meanings of the word "kerü/kirü/gerü" in historical texts will be mentioned. Then, the intraverbal antonym of the "şimden gerü" structure will be explained with examples through the corpus of Old Anatolian Turkish texts.</w:t>
      </w:r>
    </w:p>
    <w:p w14:paraId="0AEF6189" w14:textId="77777777" w:rsidR="00397CB6" w:rsidRPr="00397CB6" w:rsidRDefault="00397CB6" w:rsidP="00397CB6">
      <w:pPr>
        <w:spacing w:after="120" w:line="264" w:lineRule="auto"/>
        <w:ind w:left="567"/>
        <w:jc w:val="both"/>
        <w:rPr>
          <w:rFonts w:ascii="Times New Roman" w:hAnsi="Times New Roman" w:cs="Times New Roman"/>
          <w:lang w:val="en-US"/>
        </w:rPr>
      </w:pPr>
    </w:p>
    <w:p w14:paraId="1C7D79D2" w14:textId="6CDC8396" w:rsidR="00397CB6" w:rsidRPr="00397CB6" w:rsidRDefault="00397CB6" w:rsidP="00397CB6">
      <w:pPr>
        <w:spacing w:after="120" w:line="264" w:lineRule="auto"/>
        <w:ind w:left="567"/>
        <w:jc w:val="both"/>
        <w:rPr>
          <w:rFonts w:ascii="Times New Roman" w:hAnsi="Times New Roman" w:cs="Times New Roman"/>
          <w:lang w:val="en-US"/>
        </w:rPr>
      </w:pPr>
      <w:r w:rsidRPr="00397CB6">
        <w:rPr>
          <w:rFonts w:ascii="Times New Roman" w:hAnsi="Times New Roman" w:cs="Times New Roman"/>
          <w:b/>
          <w:lang w:val="en-US"/>
        </w:rPr>
        <w:t>Keywords:</w:t>
      </w:r>
      <w:r w:rsidRPr="00397CB6">
        <w:rPr>
          <w:rFonts w:ascii="Times New Roman" w:hAnsi="Times New Roman" w:cs="Times New Roman"/>
          <w:lang w:val="en-US"/>
        </w:rPr>
        <w:t xml:space="preserve"> Old Anatolian Turkish, polysemity, şimden gerü, intraverbal contrast.</w:t>
      </w:r>
    </w:p>
    <w:p w14:paraId="46386FD6" w14:textId="5A4CF622" w:rsidR="00913C08" w:rsidRPr="00D43E36" w:rsidRDefault="00913C08" w:rsidP="00397CB6">
      <w:pPr>
        <w:spacing w:after="120" w:line="264" w:lineRule="auto"/>
        <w:ind w:left="567"/>
        <w:jc w:val="both"/>
        <w:rPr>
          <w:rFonts w:ascii="Times New Roman" w:hAnsi="Times New Roman" w:cs="Times New Roman"/>
        </w:rPr>
      </w:pPr>
    </w:p>
    <w:sectPr w:rsidR="00913C08" w:rsidRPr="00D43E36" w:rsidSect="00D43E36">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9515A" w14:textId="77777777" w:rsidR="00CE17A7" w:rsidRDefault="00CE17A7" w:rsidP="00CC60BE">
      <w:pPr>
        <w:spacing w:after="0" w:line="240" w:lineRule="auto"/>
      </w:pPr>
      <w:r>
        <w:separator/>
      </w:r>
    </w:p>
  </w:endnote>
  <w:endnote w:type="continuationSeparator" w:id="0">
    <w:p w14:paraId="16BA1772" w14:textId="77777777" w:rsidR="00CE17A7" w:rsidRDefault="00CE17A7" w:rsidP="00CC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8FD3F" w14:textId="77777777" w:rsidR="00CE17A7" w:rsidRDefault="00CE17A7" w:rsidP="00CC60BE">
      <w:pPr>
        <w:spacing w:after="0" w:line="240" w:lineRule="auto"/>
      </w:pPr>
      <w:r>
        <w:separator/>
      </w:r>
    </w:p>
  </w:footnote>
  <w:footnote w:type="continuationSeparator" w:id="0">
    <w:p w14:paraId="518D9DB0" w14:textId="77777777" w:rsidR="00CE17A7" w:rsidRDefault="00CE17A7" w:rsidP="00CC60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NLI0NjE2MTU3NjBX0lEKTi0uzszPAykwrAUAUE5MaywAAAA="/>
  </w:docVars>
  <w:rsids>
    <w:rsidRoot w:val="005F3D94"/>
    <w:rsid w:val="00090479"/>
    <w:rsid w:val="00397CB6"/>
    <w:rsid w:val="003C1477"/>
    <w:rsid w:val="00586BBB"/>
    <w:rsid w:val="005F3D94"/>
    <w:rsid w:val="007846C3"/>
    <w:rsid w:val="0080144A"/>
    <w:rsid w:val="00842BD6"/>
    <w:rsid w:val="009138C1"/>
    <w:rsid w:val="00913C08"/>
    <w:rsid w:val="009545B4"/>
    <w:rsid w:val="009751E4"/>
    <w:rsid w:val="009E3120"/>
    <w:rsid w:val="00A2769A"/>
    <w:rsid w:val="00AC058B"/>
    <w:rsid w:val="00B76602"/>
    <w:rsid w:val="00C26A38"/>
    <w:rsid w:val="00CC60BE"/>
    <w:rsid w:val="00CE17A7"/>
    <w:rsid w:val="00D43E36"/>
    <w:rsid w:val="00E1207D"/>
    <w:rsid w:val="00E16F50"/>
    <w:rsid w:val="00F37628"/>
    <w:rsid w:val="00FD1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B6B1"/>
  <w15:chartTrackingRefBased/>
  <w15:docId w15:val="{AAC5E24F-6DF4-450C-A0F9-BC6F430D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C60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60BE"/>
    <w:rPr>
      <w:sz w:val="20"/>
      <w:szCs w:val="20"/>
    </w:rPr>
  </w:style>
  <w:style w:type="character" w:styleId="DipnotBavurusu">
    <w:name w:val="footnote reference"/>
    <w:basedOn w:val="VarsaylanParagrafYazTipi"/>
    <w:uiPriority w:val="99"/>
    <w:semiHidden/>
    <w:unhideWhenUsed/>
    <w:rsid w:val="00CC60BE"/>
    <w:rPr>
      <w:vertAlign w:val="superscript"/>
    </w:rPr>
  </w:style>
  <w:style w:type="character" w:styleId="Kpr">
    <w:name w:val="Hyperlink"/>
    <w:basedOn w:val="VarsaylanParagrafYazTipi"/>
    <w:uiPriority w:val="99"/>
    <w:unhideWhenUsed/>
    <w:rsid w:val="009751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94C6-860F-46A1-BA25-74257617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676</Words>
  <Characters>3858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18</cp:revision>
  <dcterms:created xsi:type="dcterms:W3CDTF">2022-10-15T20:24:00Z</dcterms:created>
  <dcterms:modified xsi:type="dcterms:W3CDTF">2022-10-16T11:52:00Z</dcterms:modified>
</cp:coreProperties>
</file>