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F0FBB" w14:textId="0C850586" w:rsidR="006F5DE6" w:rsidRPr="006F5DE6" w:rsidRDefault="006F5DE6" w:rsidP="00C23518">
      <w:pPr>
        <w:ind w:firstLine="567"/>
        <w:jc w:val="center"/>
        <w:rPr>
          <w:b/>
          <w:bCs/>
        </w:rPr>
      </w:pPr>
      <w:r w:rsidRPr="006F5DE6">
        <w:rPr>
          <w:b/>
          <w:bCs/>
        </w:rPr>
        <w:t>ALAŞORDA VE PAN-TÜRKİZM FİKRİ: MANEVİ UYUM VE TARİHSEL SÜREKLİLİK</w:t>
      </w:r>
    </w:p>
    <w:p w14:paraId="0EEBF949" w14:textId="2570D43E" w:rsidR="006F5DE6" w:rsidRPr="006F5DE6" w:rsidRDefault="006F5DE6" w:rsidP="00C23518">
      <w:pPr>
        <w:ind w:firstLine="567"/>
        <w:jc w:val="center"/>
        <w:rPr>
          <w:b/>
          <w:bCs/>
          <w:lang w:val="en-US"/>
        </w:rPr>
      </w:pPr>
      <w:r w:rsidRPr="006F5DE6">
        <w:rPr>
          <w:b/>
          <w:bCs/>
        </w:rPr>
        <w:t xml:space="preserve">THE İDEA OF ALASHORDA AND PAN-TURKİSM: SPİRİTUAL HARMONY AND HİSTORİCAL CONTİNUİTY </w:t>
      </w:r>
    </w:p>
    <w:p w14:paraId="400D81D6" w14:textId="77777777" w:rsidR="00D835B7" w:rsidRDefault="00D835B7" w:rsidP="00D835B7">
      <w:pPr>
        <w:spacing w:after="0" w:line="240" w:lineRule="auto"/>
        <w:ind w:firstLine="567"/>
        <w:jc w:val="center"/>
        <w:rPr>
          <w:i/>
          <w:iCs/>
          <w:lang w:val="kk-KZ"/>
        </w:rPr>
      </w:pPr>
      <w:r>
        <w:rPr>
          <w:i/>
          <w:iCs/>
          <w:lang w:val="kk-KZ"/>
        </w:rPr>
        <w:t>Amanzholova Nazym Amanzholkyzy</w:t>
      </w:r>
    </w:p>
    <w:p w14:paraId="7F7939C9" w14:textId="7194BEC3" w:rsidR="00D835B7" w:rsidRPr="00D835B7" w:rsidRDefault="00D835B7" w:rsidP="00D835B7">
      <w:pPr>
        <w:spacing w:after="0" w:line="240" w:lineRule="auto"/>
        <w:ind w:firstLine="567"/>
        <w:jc w:val="center"/>
        <w:rPr>
          <w:i/>
          <w:iCs/>
          <w:lang w:val="kk-KZ"/>
        </w:rPr>
      </w:pPr>
      <w:r w:rsidRPr="00D835B7">
        <w:rPr>
          <w:i/>
          <w:iCs/>
          <w:lang w:val="kk-KZ"/>
        </w:rPr>
        <w:t>doctoral student at the S. Amanzholov East</w:t>
      </w:r>
    </w:p>
    <w:p w14:paraId="1AD844F2" w14:textId="77777777" w:rsidR="00A2374E" w:rsidRDefault="00D835B7" w:rsidP="00D835B7">
      <w:pPr>
        <w:spacing w:after="0" w:line="240" w:lineRule="auto"/>
        <w:ind w:firstLine="567"/>
        <w:jc w:val="center"/>
        <w:rPr>
          <w:i/>
          <w:iCs/>
          <w:lang w:val="kk-KZ"/>
        </w:rPr>
      </w:pPr>
      <w:r w:rsidRPr="00D835B7">
        <w:rPr>
          <w:i/>
          <w:iCs/>
          <w:lang w:val="kk-KZ"/>
        </w:rPr>
        <w:t>Kazakhstan University, Ust-Kamenogorsk, Kazakhst</w:t>
      </w:r>
      <w:r>
        <w:rPr>
          <w:i/>
          <w:iCs/>
          <w:lang w:val="kk-KZ"/>
        </w:rPr>
        <w:t xml:space="preserve">an. </w:t>
      </w:r>
      <w:hyperlink r:id="rId8" w:history="1">
        <w:r w:rsidR="00832F7B" w:rsidRPr="00837CD5">
          <w:rPr>
            <w:rStyle w:val="a8"/>
            <w:i/>
            <w:iCs/>
            <w:lang w:val="en-US"/>
          </w:rPr>
          <w:t>n</w:t>
        </w:r>
        <w:r w:rsidR="00832F7B" w:rsidRPr="00837CD5">
          <w:rPr>
            <w:rStyle w:val="a8"/>
            <w:i/>
            <w:iCs/>
            <w:lang w:val="kk-KZ"/>
          </w:rPr>
          <w:t>azym_amanzholkyzy@mail.ru</w:t>
        </w:r>
      </w:hyperlink>
      <w:r w:rsidR="00A2374E">
        <w:rPr>
          <w:i/>
          <w:iCs/>
          <w:lang w:val="kk-KZ"/>
        </w:rPr>
        <w:t>,</w:t>
      </w:r>
    </w:p>
    <w:p w14:paraId="2A983C99" w14:textId="75D9BA99" w:rsidR="00D835B7" w:rsidRPr="00D835B7" w:rsidRDefault="00832F7B" w:rsidP="00D835B7">
      <w:pPr>
        <w:spacing w:after="0" w:line="240" w:lineRule="auto"/>
        <w:ind w:firstLine="567"/>
        <w:jc w:val="center"/>
        <w:rPr>
          <w:i/>
          <w:iCs/>
          <w:lang w:val="kk-KZ"/>
        </w:rPr>
      </w:pPr>
      <w:r>
        <w:rPr>
          <w:i/>
          <w:iCs/>
          <w:lang w:val="kk-KZ"/>
        </w:rPr>
        <w:t xml:space="preserve"> </w:t>
      </w:r>
      <w:hyperlink r:id="rId9" w:history="1">
        <w:r w:rsidR="00A2374E" w:rsidRPr="00837CD5">
          <w:rPr>
            <w:rStyle w:val="a8"/>
            <w:i/>
            <w:iCs/>
            <w:lang w:val="kk-KZ"/>
          </w:rPr>
          <w:t>https://orcid.org/0009-00002156-8621</w:t>
        </w:r>
      </w:hyperlink>
      <w:r w:rsidR="00A2374E" w:rsidRPr="00D835B7">
        <w:rPr>
          <w:i/>
          <w:iCs/>
          <w:lang w:val="kk-KZ"/>
        </w:rPr>
        <w:t>,</w:t>
      </w:r>
    </w:p>
    <w:p w14:paraId="053B0512" w14:textId="77777777" w:rsidR="00D835B7" w:rsidRDefault="00D835B7" w:rsidP="00D835B7">
      <w:pPr>
        <w:spacing w:after="0" w:line="240" w:lineRule="auto"/>
        <w:ind w:firstLine="567"/>
        <w:jc w:val="both"/>
        <w:rPr>
          <w:b/>
          <w:bCs/>
          <w:lang w:val="kk-KZ"/>
        </w:rPr>
      </w:pPr>
    </w:p>
    <w:p w14:paraId="68E114A3" w14:textId="5543AF93" w:rsidR="00D835B7" w:rsidRPr="00A2374E" w:rsidRDefault="00D835B7" w:rsidP="00A2374E">
      <w:pPr>
        <w:spacing w:after="0" w:line="240" w:lineRule="auto"/>
        <w:ind w:firstLine="567"/>
        <w:jc w:val="center"/>
        <w:rPr>
          <w:bCs/>
          <w:i/>
          <w:lang w:val="kk-KZ"/>
        </w:rPr>
      </w:pPr>
      <w:r w:rsidRPr="00A2374E">
        <w:rPr>
          <w:bCs/>
          <w:i/>
          <w:lang w:val="kk-KZ"/>
        </w:rPr>
        <w:t>N</w:t>
      </w:r>
      <w:r w:rsidR="00832F7B" w:rsidRPr="00A2374E">
        <w:rPr>
          <w:bCs/>
          <w:i/>
          <w:lang w:val="kk-KZ"/>
        </w:rPr>
        <w:t>ecati</w:t>
      </w:r>
      <w:r w:rsidRPr="00A2374E">
        <w:rPr>
          <w:bCs/>
          <w:i/>
          <w:lang w:val="kk-KZ"/>
        </w:rPr>
        <w:t xml:space="preserve"> D</w:t>
      </w:r>
      <w:r w:rsidR="00832F7B" w:rsidRPr="00A2374E">
        <w:rPr>
          <w:bCs/>
          <w:i/>
          <w:lang w:val="kk-KZ"/>
        </w:rPr>
        <w:t>emir</w:t>
      </w:r>
    </w:p>
    <w:p w14:paraId="6567EB13" w14:textId="1EEE97A0" w:rsidR="00832F7B" w:rsidRPr="00A2374E" w:rsidRDefault="00832F7B" w:rsidP="00A2374E">
      <w:pPr>
        <w:spacing w:after="0" w:line="240" w:lineRule="auto"/>
        <w:ind w:firstLine="567"/>
        <w:jc w:val="center"/>
        <w:rPr>
          <w:bCs/>
          <w:i/>
          <w:lang w:val="kk-KZ"/>
        </w:rPr>
      </w:pPr>
      <w:r w:rsidRPr="00A2374E">
        <w:rPr>
          <w:bCs/>
          <w:i/>
          <w:lang w:val="kk-KZ"/>
        </w:rPr>
        <w:t>Prof. Dr. Gazi Üniversitesi</w:t>
      </w:r>
    </w:p>
    <w:p w14:paraId="423B9749" w14:textId="4EB87C65" w:rsidR="00832F7B" w:rsidRPr="00A2374E" w:rsidRDefault="00832F7B" w:rsidP="00A2374E">
      <w:pPr>
        <w:spacing w:after="0" w:line="240" w:lineRule="auto"/>
        <w:ind w:firstLine="567"/>
        <w:jc w:val="center"/>
        <w:rPr>
          <w:bCs/>
          <w:i/>
          <w:lang w:val="kk-KZ"/>
        </w:rPr>
      </w:pPr>
      <w:r w:rsidRPr="00A2374E">
        <w:rPr>
          <w:bCs/>
          <w:i/>
          <w:lang w:val="kk-KZ"/>
        </w:rPr>
        <w:t xml:space="preserve">Gazi Eğitim Fakültesi </w:t>
      </w:r>
      <w:r w:rsidRPr="00A2374E">
        <w:rPr>
          <w:bCs/>
          <w:i/>
          <w:lang w:val="en-US"/>
        </w:rPr>
        <w:t>Ankara</w:t>
      </w:r>
      <w:r w:rsidRPr="00A2374E">
        <w:rPr>
          <w:bCs/>
          <w:i/>
          <w:lang w:val="ru-RU"/>
        </w:rPr>
        <w:t xml:space="preserve"> – Türkiye, </w:t>
      </w:r>
      <w:r w:rsidRPr="00A2374E">
        <w:rPr>
          <w:bCs/>
          <w:i/>
          <w:lang w:val="en-US"/>
        </w:rPr>
        <w:t>Türk Dili</w:t>
      </w:r>
    </w:p>
    <w:p w14:paraId="10637F62" w14:textId="77777777" w:rsidR="00A2374E" w:rsidRPr="00A2374E" w:rsidRDefault="00832F7B" w:rsidP="00A2374E">
      <w:pPr>
        <w:spacing w:after="0" w:line="240" w:lineRule="auto"/>
        <w:ind w:firstLine="567"/>
        <w:jc w:val="center"/>
        <w:rPr>
          <w:bCs/>
          <w:i/>
          <w:lang w:val="kk-KZ"/>
        </w:rPr>
      </w:pPr>
      <w:hyperlink r:id="rId10" w:history="1">
        <w:r w:rsidRPr="00A2374E">
          <w:rPr>
            <w:rStyle w:val="a8"/>
            <w:bCs/>
            <w:i/>
            <w:lang w:val="kk-KZ"/>
          </w:rPr>
          <w:t>necatidemir@gazi.edu.tr</w:t>
        </w:r>
      </w:hyperlink>
      <w:r w:rsidR="00A2374E" w:rsidRPr="00A2374E">
        <w:rPr>
          <w:bCs/>
          <w:i/>
          <w:lang w:val="kk-KZ"/>
        </w:rPr>
        <w:t xml:space="preserve">, </w:t>
      </w:r>
    </w:p>
    <w:p w14:paraId="16890323" w14:textId="541A9523" w:rsidR="00832F7B" w:rsidRPr="00A2374E" w:rsidRDefault="00A2374E" w:rsidP="00A2374E">
      <w:pPr>
        <w:spacing w:after="0" w:line="240" w:lineRule="auto"/>
        <w:ind w:firstLine="567"/>
        <w:jc w:val="center"/>
        <w:rPr>
          <w:bCs/>
          <w:i/>
          <w:lang w:val="ru-RU"/>
        </w:rPr>
      </w:pPr>
      <w:hyperlink r:id="rId11" w:history="1">
        <w:r w:rsidRPr="00A2374E">
          <w:rPr>
            <w:rStyle w:val="a8"/>
            <w:bCs/>
            <w:i/>
            <w:lang w:val="kk-KZ"/>
          </w:rPr>
          <w:t>https://orcid.org/0000-0003-0762-410X</w:t>
        </w:r>
      </w:hyperlink>
      <w:r w:rsidRPr="00A2374E">
        <w:rPr>
          <w:bCs/>
          <w:i/>
          <w:lang w:val="kk-KZ"/>
        </w:rPr>
        <w:t xml:space="preserve"> </w:t>
      </w:r>
    </w:p>
    <w:p w14:paraId="22761E0E" w14:textId="77777777" w:rsidR="00832F7B" w:rsidRDefault="00832F7B" w:rsidP="00832F7B">
      <w:pPr>
        <w:spacing w:after="0" w:line="240" w:lineRule="auto"/>
        <w:ind w:firstLine="567"/>
        <w:jc w:val="center"/>
        <w:rPr>
          <w:bCs/>
          <w:lang w:val="kk-KZ"/>
        </w:rPr>
      </w:pPr>
    </w:p>
    <w:p w14:paraId="57E0AF72" w14:textId="22C16B62" w:rsidR="00C23518" w:rsidRPr="00CE4792" w:rsidRDefault="00C23518" w:rsidP="00C23518">
      <w:pPr>
        <w:ind w:firstLine="567"/>
        <w:jc w:val="both"/>
        <w:rPr>
          <w:b/>
          <w:bCs/>
        </w:rPr>
      </w:pPr>
      <w:r w:rsidRPr="00CE4792">
        <w:rPr>
          <w:b/>
          <w:bCs/>
        </w:rPr>
        <w:t>Özet</w:t>
      </w:r>
    </w:p>
    <w:p w14:paraId="4F27A2CC" w14:textId="77777777" w:rsidR="00B05458" w:rsidRDefault="00B05458" w:rsidP="00CE4792">
      <w:pPr>
        <w:ind w:firstLine="567"/>
        <w:jc w:val="both"/>
        <w:rPr>
          <w:lang w:val="kk-KZ"/>
        </w:rPr>
      </w:pPr>
      <w:r w:rsidRPr="00B05458">
        <w:t xml:space="preserve">Bu makale, yirminci yüzyılın başlarındaki Kazak ulusal kurtuluş hareketinin siyasi örgütü olan pan-Türkizm fikrinin sürekliliğini ve manevi uyumunu kapsamlı bir şekilde ele almakta, Alaşorda ile Türk halklarının birliğini ve dayanışmasını varsaymaktadır. Çalışma sırasında her şeyden önce Alaş şahsiyetlerinin tarihi-sosyal koşullarda milli çıkarların korunması konusundaki mücadeleleri ve faaliyetleri ele alınacak, Türk ortak medeniyetinin ve kültürel değerlerinin korunmasına yönelik istekleri analiz edilecektir. Pan-Türkizmin önemi, sadece siyasi doktrini değil, aynı zamanda Türk halklarının manevi bütünlüğünü, medeniyetsel modernleşmesini ve kültürel entegrasyonunu da sağlayan bir fikir olarak tanımlanmaktadır. Alaş aydınlarının yazılarında dil, edebiyat, kültür, din, aydınlanma konularına ilişkin düşünceler, pan-Türkist görüşlerle birleştiğinde, Türk dünyasının ortak bir geleceğin şekillenmesindeki tarihsel rolünü yansıtmaktadır. Makale, Alaşorda'nın ideolojisinin ulusal bilincin modernleşmesinde, kurtuluş mücadelesinin ruhunun yenilenmesinde ve bağımsızlık fikrine giden yolun açılmasındaki yerini analiz ediyor, pan-Türkçülükle manevi uyumu bilimsel olarak kapsamlı bir şekilde destekleniyor. Çalışmanın sonuçları aynı zamanda modern milli tarihin </w:t>
      </w:r>
      <w:r w:rsidRPr="00B05458">
        <w:lastRenderedPageBreak/>
        <w:t>yeni vizyonuna ve Türk entegrasyonunun anlaşılmasına da katkıda bulunuyor.</w:t>
      </w:r>
    </w:p>
    <w:p w14:paraId="09E240D1" w14:textId="26B0E35E" w:rsidR="00CE4792" w:rsidRDefault="00CE4792" w:rsidP="00CE4792">
      <w:pPr>
        <w:ind w:firstLine="567"/>
        <w:jc w:val="both"/>
      </w:pPr>
      <w:r w:rsidRPr="0092271D">
        <w:rPr>
          <w:b/>
          <w:sz w:val="20"/>
          <w:szCs w:val="20"/>
        </w:rPr>
        <w:t xml:space="preserve">Anahtar Kelimeler: </w:t>
      </w:r>
      <w:r>
        <w:rPr>
          <w:sz w:val="20"/>
          <w:szCs w:val="20"/>
        </w:rPr>
        <w:t xml:space="preserve"> </w:t>
      </w:r>
      <w:r w:rsidR="00B05458" w:rsidRPr="00B05458">
        <w:t>Alaşord hareketi; Pan-Türkizm fikri; manevi uyum; tarihsel süreklilik; ulusal bilinç</w:t>
      </w:r>
    </w:p>
    <w:p w14:paraId="7203671D" w14:textId="7C68C9AB" w:rsidR="00C2713C" w:rsidRPr="00C2713C" w:rsidRDefault="00C2713C" w:rsidP="00CE4792">
      <w:pPr>
        <w:ind w:firstLine="567"/>
        <w:jc w:val="both"/>
        <w:rPr>
          <w:b/>
          <w:bCs/>
        </w:rPr>
      </w:pPr>
      <w:r w:rsidRPr="00C2713C">
        <w:rPr>
          <w:b/>
          <w:bCs/>
        </w:rPr>
        <w:t>Abstract</w:t>
      </w:r>
    </w:p>
    <w:p w14:paraId="28187F78" w14:textId="77777777" w:rsidR="004248FD" w:rsidRDefault="004248FD" w:rsidP="00C2713C">
      <w:pPr>
        <w:ind w:firstLine="567"/>
        <w:jc w:val="both"/>
        <w:rPr>
          <w:lang w:val="kk-KZ"/>
        </w:rPr>
      </w:pPr>
      <w:r w:rsidRPr="004248FD">
        <w:t>This article provides a comprehensive analysis of the interconnection and spiritual harmony between the Alash Orda, the political organization of the Kazakh national liberation movement at the beginning of the twentieth century, and the idea of Pan-Turkism, which sought to ensure the unity and solidarity of Turkic peoples. The study first examines the struggle and activities of the Alash leaders in defending national interests under complex socio-historical circumstances, highlighting their efforts to preserve the common Turkic civilization and cultural values. Furthermore, Pan-Turkism is interpreted not only as a political doctrine but also as an idea that fosters spiritual integrity, civilizational renewal, and cultural interaction among Turkic nations. The thoughts of Alash intellectuals on language, literature, culture, religion, and education are shown to be consistent with Pan-Turkist perspectives, thereby demonstrating their historical role in shaping the common future of the Turkic world. In addition, the article analyzes the role of the Alash Orda ideology in reviving national consciousness, strengthening the spirit of the liberation struggle, and paving the way for the idea of independence, while scientifically substantiating its spiritual consonance with Pan-Turkism. The research results also contribute to a renewed interpretation of national history and a deeper understanding of Turkic integration.</w:t>
      </w:r>
    </w:p>
    <w:p w14:paraId="2256BA72" w14:textId="7A80DEE6" w:rsidR="00C2713C" w:rsidRDefault="00C2713C" w:rsidP="00C2713C">
      <w:pPr>
        <w:ind w:firstLine="567"/>
        <w:jc w:val="both"/>
      </w:pPr>
      <w:r>
        <w:rPr>
          <w:b/>
          <w:sz w:val="20"/>
          <w:szCs w:val="20"/>
        </w:rPr>
        <w:t>Keywords</w:t>
      </w:r>
      <w:r w:rsidRPr="0092271D">
        <w:rPr>
          <w:b/>
          <w:sz w:val="20"/>
          <w:szCs w:val="20"/>
        </w:rPr>
        <w:t xml:space="preserve">: </w:t>
      </w:r>
      <w:r>
        <w:rPr>
          <w:sz w:val="20"/>
          <w:szCs w:val="20"/>
        </w:rPr>
        <w:t xml:space="preserve"> </w:t>
      </w:r>
      <w:r w:rsidR="004248FD" w:rsidRPr="004248FD">
        <w:t>Alash Orda movement; Pan-Turkism idea; spiritual harmony; historical continuity; national consciousness</w:t>
      </w:r>
    </w:p>
    <w:p w14:paraId="64A4CE7C" w14:textId="77777777" w:rsidR="00B05458" w:rsidRPr="00B05458" w:rsidRDefault="00B05458" w:rsidP="00B05458">
      <w:pPr>
        <w:ind w:firstLine="567"/>
        <w:jc w:val="both"/>
        <w:rPr>
          <w:b/>
          <w:bCs/>
          <w:lang w:val="ru-KZ"/>
        </w:rPr>
      </w:pPr>
      <w:r w:rsidRPr="00B05458">
        <w:rPr>
          <w:b/>
          <w:bCs/>
          <w:lang w:val="ru-KZ"/>
        </w:rPr>
        <w:t>Introduction</w:t>
      </w:r>
    </w:p>
    <w:p w14:paraId="219251C7" w14:textId="77777777" w:rsidR="00B05458" w:rsidRPr="00B05458" w:rsidRDefault="00B05458" w:rsidP="00B05458">
      <w:pPr>
        <w:ind w:firstLine="567"/>
        <w:jc w:val="both"/>
        <w:rPr>
          <w:lang w:val="ru-KZ"/>
        </w:rPr>
      </w:pPr>
      <w:r w:rsidRPr="00B05458">
        <w:rPr>
          <w:lang w:val="ru-KZ"/>
        </w:rPr>
        <w:t xml:space="preserve">The early twentieth century was a turning point in the socio-political history of the Turkic peoples. On the one hand, the colonial policy of the Russian Empire intensified, threatening national identity and statehood; on the other hand, new ideological movements emerged, </w:t>
      </w:r>
      <w:r w:rsidRPr="00B05458">
        <w:rPr>
          <w:lang w:val="ru-KZ"/>
        </w:rPr>
        <w:lastRenderedPageBreak/>
        <w:t>oriented toward freedom and Turkic unity. In Kazakh society, this process was embodied in the Alash movement, which aimed to establish national autonomy, while at the broader Turkic level, it took shape in the idea of Pan-Turkism, which sought to unite peoples on a common civilizational foundation.</w:t>
      </w:r>
    </w:p>
    <w:p w14:paraId="0557F3E6" w14:textId="77777777" w:rsidR="00B05458" w:rsidRPr="00B05458" w:rsidRDefault="00B05458" w:rsidP="00B05458">
      <w:pPr>
        <w:ind w:firstLine="567"/>
        <w:jc w:val="both"/>
        <w:rPr>
          <w:lang w:val="ru-KZ"/>
        </w:rPr>
      </w:pPr>
      <w:r w:rsidRPr="00B05458">
        <w:rPr>
          <w:lang w:val="ru-KZ"/>
        </w:rPr>
        <w:t xml:space="preserve">The activities of the Alash movement were closely linked to concrete historical events: for example, at the First All-Kazakh Congress of 1917, the issue of establishing autonomy was discussed, and Alikhan Bokeikhan and his contemporaries presented clear programmatic principles for political independence (Belleten, 2016). Furthermore, the newspaper </w:t>
      </w:r>
      <w:r w:rsidRPr="00B05458">
        <w:rPr>
          <w:i/>
          <w:iCs/>
          <w:lang w:val="ru-KZ"/>
        </w:rPr>
        <w:t>Qazaq</w:t>
      </w:r>
      <w:r w:rsidRPr="00B05458">
        <w:rPr>
          <w:lang w:val="ru-KZ"/>
        </w:rPr>
        <w:t>, first published in 1913, became a crucial instrument in awakening national consciousness, promoting enlightenment, and preserving cultural integrity. These facts demonstrate the practical steps taken by Alash leaders to strengthen national statehood and renew spiritual identity.</w:t>
      </w:r>
    </w:p>
    <w:p w14:paraId="1A345F4D" w14:textId="77777777" w:rsidR="00B05458" w:rsidRPr="00B05458" w:rsidRDefault="00B05458" w:rsidP="00B05458">
      <w:pPr>
        <w:ind w:firstLine="567"/>
        <w:jc w:val="both"/>
        <w:rPr>
          <w:lang w:val="ru-KZ"/>
        </w:rPr>
      </w:pPr>
      <w:r w:rsidRPr="00B05458">
        <w:rPr>
          <w:lang w:val="ru-KZ"/>
        </w:rPr>
        <w:t xml:space="preserve">The idea of Pan-Turkism also developed in parallel with educational and cultural revival movements among the Turkic peoples. Thinkers such as Ziya Gökalp, Yusuf Akçura, and Ismail Gasprinsky promoted the slogan </w:t>
      </w:r>
      <w:r w:rsidRPr="00B05458">
        <w:rPr>
          <w:i/>
          <w:iCs/>
          <w:lang w:val="ru-KZ"/>
        </w:rPr>
        <w:t>“Unity in language, thought, and action”</w:t>
      </w:r>
      <w:r w:rsidRPr="00B05458">
        <w:rPr>
          <w:lang w:val="ru-KZ"/>
        </w:rPr>
        <w:t>, which aimed to reform the education system, strengthen the press, and renew cultural codes (Ye, 2022). This vision resonated with the work of the Alash intellectuals in opening national schools, improving the alphabet and orthography, and developing the press.</w:t>
      </w:r>
    </w:p>
    <w:p w14:paraId="6638CEE8" w14:textId="77777777" w:rsidR="00B05458" w:rsidRPr="00B05458" w:rsidRDefault="00B05458" w:rsidP="00B05458">
      <w:pPr>
        <w:ind w:firstLine="567"/>
        <w:jc w:val="both"/>
        <w:rPr>
          <w:lang w:val="ru-KZ"/>
        </w:rPr>
      </w:pPr>
      <w:r w:rsidRPr="00B05458">
        <w:rPr>
          <w:lang w:val="ru-KZ"/>
        </w:rPr>
        <w:t>In recent years, new methodological approaches have been introduced in scholarship on this topic. For instance, Ö. Kesici (2017) characterizes the Alash movement as an ethnopolitical project that redefined Kazakh ethnic identity; A. Kalirad (2022) describes it as a decisive step in the formation of Kazakhstani statehood; and T. Ye (2022) demonstrates that the idea of Turkic unity was realized through enlightenment and the press. These studies convincingly show the historical and cultural foundations of the spiritual consonance between the ideas of Alash Orda and Pan-Turkism.</w:t>
      </w:r>
    </w:p>
    <w:p w14:paraId="765B6310" w14:textId="26B4080B" w:rsidR="00B05458" w:rsidRPr="00B05458" w:rsidRDefault="00B05458" w:rsidP="00383D79">
      <w:pPr>
        <w:ind w:firstLine="567"/>
        <w:jc w:val="both"/>
        <w:rPr>
          <w:lang w:val="ru-KZ"/>
        </w:rPr>
      </w:pPr>
      <w:r w:rsidRPr="00B05458">
        <w:rPr>
          <w:lang w:val="ru-KZ"/>
        </w:rPr>
        <w:t xml:space="preserve">Accordingly, this article examines the activities of the Kazakh intellectuals of the early twentieth century in defending national interests and explores the interconnection between their program and </w:t>
      </w:r>
      <w:r w:rsidRPr="00B05458">
        <w:rPr>
          <w:lang w:val="ru-KZ"/>
        </w:rPr>
        <w:lastRenderedPageBreak/>
        <w:t>the idea of Pan-Turkism. The research analyzes the concrete actions of the Alash leaders on the basis of historical data and assesses their contribution to preserving the common civilizational values of the Turkic world.</w:t>
      </w:r>
    </w:p>
    <w:p w14:paraId="793A0FDF" w14:textId="5416E0E2" w:rsidR="00B05458" w:rsidRPr="00B05458" w:rsidRDefault="00B05458" w:rsidP="00B05458">
      <w:pPr>
        <w:ind w:firstLine="567"/>
        <w:jc w:val="both"/>
        <w:rPr>
          <w:lang w:val="ru-KZ"/>
        </w:rPr>
      </w:pPr>
      <w:r w:rsidRPr="00B05458">
        <w:rPr>
          <w:lang w:val="ru-KZ"/>
        </w:rPr>
        <w:t>Relevance of the Study: The relevance of this study is closely linked to the challenges of the contemporary global era: the revival of national consciousness, the reinterpretation of historical experience, and the strengthening of cultural interaction among Turkic peoples. Today, integration organizations such as the Organization of Turkic States and the International Turkic Academy prioritize the preservation and study of shared historical and cultural heritage. For example, the Vision of the Turkic World–2040, adopted at the 2021 Summit of the Organization of Turkic States, established the renewal of national cultural heritage and common historical memory as a strategic objective. These provisions directly resonate with the ideological guidelines of the Alash leaders in their efforts to modernize the nation.</w:t>
      </w:r>
    </w:p>
    <w:p w14:paraId="437FE449" w14:textId="77777777" w:rsidR="00B05458" w:rsidRPr="00B05458" w:rsidRDefault="00B05458" w:rsidP="00B05458">
      <w:pPr>
        <w:ind w:firstLine="567"/>
        <w:jc w:val="both"/>
        <w:rPr>
          <w:lang w:val="ru-KZ"/>
        </w:rPr>
      </w:pPr>
      <w:r w:rsidRPr="00B05458">
        <w:rPr>
          <w:lang w:val="ru-KZ"/>
        </w:rPr>
        <w:t>Recent scholarship also provides concrete evidence of this relevance. Kesici (2017) describes the Alash movement as a decisive stage in the formation of Kazakh ethnic identity and emphasizes its importance for current nation-building practices. Kalirad (2022) views the Alash movement as the historical foundation of Kazakhstani statehood and links its ideas to modern integration processes. Ye (2022) underscores the importance of enlightenment and the press in strengthening Turkic unity and demonstrates the enduring influence of these ideas today.</w:t>
      </w:r>
    </w:p>
    <w:p w14:paraId="7E992233" w14:textId="76E22A50" w:rsidR="00B05458" w:rsidRPr="00B05458" w:rsidRDefault="00B05458" w:rsidP="00B05458">
      <w:pPr>
        <w:ind w:firstLine="567"/>
        <w:jc w:val="both"/>
        <w:rPr>
          <w:lang w:val="ru-KZ"/>
        </w:rPr>
      </w:pPr>
      <w:r w:rsidRPr="00B05458">
        <w:rPr>
          <w:lang w:val="ru-KZ"/>
        </w:rPr>
        <w:t>Thus, the relevance of this study is substantiated not only theoretically but also through historical data and contemporary scholarly analysis. Examining this topic allows for a deeper understanding of the intellectual legacy of the Alash leaders and provides a new perspective on the historical continuity and spiritual unity of the Turkic world.</w:t>
      </w:r>
    </w:p>
    <w:p w14:paraId="2AAD1D37" w14:textId="195BEEBB" w:rsidR="00B05458" w:rsidRPr="00B05458" w:rsidRDefault="00B05458" w:rsidP="00B05458">
      <w:pPr>
        <w:ind w:firstLine="567"/>
        <w:jc w:val="both"/>
        <w:rPr>
          <w:b/>
          <w:bCs/>
          <w:lang w:val="ru-KZ"/>
        </w:rPr>
      </w:pPr>
      <w:r w:rsidRPr="00B05458">
        <w:rPr>
          <w:b/>
          <w:bCs/>
          <w:lang w:val="ru-KZ"/>
        </w:rPr>
        <w:t>Research Aim</w:t>
      </w:r>
      <w:r>
        <w:rPr>
          <w:b/>
          <w:bCs/>
          <w:lang w:val="ru-KZ"/>
        </w:rPr>
        <w:t xml:space="preserve">: </w:t>
      </w:r>
      <w:r w:rsidRPr="00B05458">
        <w:rPr>
          <w:lang w:val="ru-KZ"/>
        </w:rPr>
        <w:t>The aim of the study is to reveal the historical and spiritual consonance between the Alash Orda movement and the idea of Pan-Turkism, and to identify their common features in preserving national identity and striving for independence.</w:t>
      </w:r>
    </w:p>
    <w:p w14:paraId="4E46A205" w14:textId="3864304C" w:rsidR="00B05458" w:rsidRPr="00B05458" w:rsidRDefault="00B05458" w:rsidP="00B05458">
      <w:pPr>
        <w:ind w:firstLine="567"/>
        <w:jc w:val="both"/>
        <w:rPr>
          <w:b/>
          <w:bCs/>
          <w:lang w:val="ru-KZ"/>
        </w:rPr>
      </w:pPr>
      <w:r w:rsidRPr="00B05458">
        <w:rPr>
          <w:b/>
          <w:bCs/>
          <w:lang w:val="ru-KZ"/>
        </w:rPr>
        <w:lastRenderedPageBreak/>
        <w:t>Research Objectives</w:t>
      </w:r>
      <w:r>
        <w:rPr>
          <w:b/>
          <w:bCs/>
          <w:lang w:val="ru-KZ"/>
        </w:rPr>
        <w:t>:</w:t>
      </w:r>
    </w:p>
    <w:p w14:paraId="06C267E5" w14:textId="77777777" w:rsidR="00B05458" w:rsidRPr="00B05458" w:rsidRDefault="00B05458" w:rsidP="00B05458">
      <w:pPr>
        <w:numPr>
          <w:ilvl w:val="0"/>
          <w:numId w:val="5"/>
        </w:numPr>
        <w:jc w:val="both"/>
        <w:rPr>
          <w:lang w:val="ru-KZ"/>
        </w:rPr>
      </w:pPr>
      <w:r w:rsidRPr="00B05458">
        <w:rPr>
          <w:lang w:val="ru-KZ"/>
        </w:rPr>
        <w:t>To provide a concise analysis of the socio-political context of the early twentieth century;</w:t>
      </w:r>
    </w:p>
    <w:p w14:paraId="6B187A01" w14:textId="77777777" w:rsidR="00B05458" w:rsidRPr="00B05458" w:rsidRDefault="00B05458" w:rsidP="00B05458">
      <w:pPr>
        <w:numPr>
          <w:ilvl w:val="0"/>
          <w:numId w:val="5"/>
        </w:numPr>
        <w:jc w:val="both"/>
        <w:rPr>
          <w:lang w:val="ru-KZ"/>
        </w:rPr>
      </w:pPr>
      <w:r w:rsidRPr="00B05458">
        <w:rPr>
          <w:lang w:val="ru-KZ"/>
        </w:rPr>
        <w:t>To identify the national ideas expressed in the works and positions of Alash leaders;</w:t>
      </w:r>
    </w:p>
    <w:p w14:paraId="250D72F3" w14:textId="77777777" w:rsidR="00B05458" w:rsidRPr="00B05458" w:rsidRDefault="00B05458" w:rsidP="00B05458">
      <w:pPr>
        <w:numPr>
          <w:ilvl w:val="0"/>
          <w:numId w:val="5"/>
        </w:numPr>
        <w:jc w:val="both"/>
        <w:rPr>
          <w:lang w:val="ru-KZ"/>
        </w:rPr>
      </w:pPr>
      <w:r w:rsidRPr="00B05458">
        <w:rPr>
          <w:lang w:val="ru-KZ"/>
        </w:rPr>
        <w:t>To describe the essence of Pan-Turkism, including its political and spiritual dimensions;</w:t>
      </w:r>
    </w:p>
    <w:p w14:paraId="0FFF8E0D" w14:textId="77777777" w:rsidR="00B05458" w:rsidRPr="00B05458" w:rsidRDefault="00B05458" w:rsidP="00B05458">
      <w:pPr>
        <w:numPr>
          <w:ilvl w:val="0"/>
          <w:numId w:val="5"/>
        </w:numPr>
        <w:jc w:val="both"/>
        <w:rPr>
          <w:lang w:val="ru-KZ"/>
        </w:rPr>
      </w:pPr>
      <w:r w:rsidRPr="00B05458">
        <w:rPr>
          <w:lang w:val="ru-KZ"/>
        </w:rPr>
        <w:t>To demonstrate, on a scholarly basis, the continuity and consonance between Alash ideology and Pan-Turkism;</w:t>
      </w:r>
    </w:p>
    <w:p w14:paraId="49C95F39" w14:textId="163A7BD7" w:rsidR="00B05458" w:rsidRPr="00B05458" w:rsidRDefault="00B05458" w:rsidP="00B05458">
      <w:pPr>
        <w:numPr>
          <w:ilvl w:val="0"/>
          <w:numId w:val="5"/>
        </w:numPr>
        <w:jc w:val="both"/>
        <w:rPr>
          <w:lang w:val="ru-KZ"/>
        </w:rPr>
      </w:pPr>
      <w:r w:rsidRPr="00B05458">
        <w:rPr>
          <w:lang w:val="ru-KZ"/>
        </w:rPr>
        <w:t>To evaluate the significance of these ideas for contemporary Turkic peoples.</w:t>
      </w:r>
    </w:p>
    <w:p w14:paraId="1CF77543" w14:textId="691FDDA4" w:rsidR="00B05458" w:rsidRPr="00B05458" w:rsidRDefault="00B05458" w:rsidP="00B05458">
      <w:pPr>
        <w:ind w:firstLine="567"/>
        <w:jc w:val="both"/>
        <w:rPr>
          <w:b/>
          <w:bCs/>
          <w:lang w:val="ru-KZ"/>
        </w:rPr>
      </w:pPr>
      <w:r w:rsidRPr="00B05458">
        <w:rPr>
          <w:b/>
          <w:bCs/>
          <w:lang w:val="ru-KZ"/>
        </w:rPr>
        <w:t>Scientific Novelty</w:t>
      </w:r>
      <w:r>
        <w:rPr>
          <w:b/>
          <w:bCs/>
          <w:lang w:val="ru-KZ"/>
        </w:rPr>
        <w:t xml:space="preserve">: </w:t>
      </w:r>
      <w:r w:rsidRPr="00B05458">
        <w:rPr>
          <w:lang w:val="ru-KZ"/>
        </w:rPr>
        <w:t>The scientific novelty of the study lies in the systematic comparative analysis of the historical continuity and spiritual consonance between the Alash movement and Pan-Turkism, as well as in substantiating their significance for the study of modern national history and Turkic integration.</w:t>
      </w:r>
    </w:p>
    <w:p w14:paraId="35904FFD" w14:textId="77777777" w:rsidR="004248FD" w:rsidRPr="00B05458" w:rsidRDefault="004248FD" w:rsidP="00CE4792">
      <w:pPr>
        <w:ind w:firstLine="567"/>
        <w:jc w:val="both"/>
        <w:rPr>
          <w:lang w:val="ru-KZ"/>
        </w:rPr>
      </w:pPr>
    </w:p>
    <w:p w14:paraId="781F230C" w14:textId="7DDBD5C5" w:rsidR="00B05458" w:rsidRDefault="00B05458" w:rsidP="00B05458">
      <w:pPr>
        <w:spacing w:after="0"/>
        <w:ind w:firstLine="567"/>
        <w:jc w:val="both"/>
        <w:rPr>
          <w:b/>
          <w:bCs/>
          <w:lang w:val="kk-KZ"/>
        </w:rPr>
      </w:pPr>
      <w:r w:rsidRPr="00B05458">
        <w:rPr>
          <w:b/>
          <w:bCs/>
        </w:rPr>
        <w:t>1.First-Level Title</w:t>
      </w:r>
    </w:p>
    <w:p w14:paraId="3B9FD5DA" w14:textId="77777777" w:rsidR="00B05458" w:rsidRDefault="00B05458" w:rsidP="00B05458">
      <w:pPr>
        <w:spacing w:after="0"/>
        <w:ind w:firstLine="567"/>
        <w:jc w:val="both"/>
        <w:rPr>
          <w:lang w:val="kk-KZ"/>
        </w:rPr>
      </w:pPr>
    </w:p>
    <w:p w14:paraId="52A14DBE" w14:textId="322B210E" w:rsidR="00B05458" w:rsidRPr="00B05458" w:rsidRDefault="00B05458" w:rsidP="00B05458">
      <w:pPr>
        <w:spacing w:after="0"/>
        <w:ind w:firstLine="567"/>
        <w:jc w:val="both"/>
        <w:rPr>
          <w:lang w:val="kk-KZ"/>
        </w:rPr>
      </w:pPr>
      <w:r w:rsidRPr="00B05458">
        <w:rPr>
          <w:lang w:val="kk-KZ"/>
        </w:rPr>
        <w:t>The early twentieth century was a period of profound political and spiritual transformation for Kazakh society. This era was marked by the revival of national consciousness, the aspiration for independence, and the search for new forms of social organization. At a time when the colonial policy of the Russian Empire intensified, Kazakh intellectuals strove to preserve national identity, guide the people toward education and culture, and secure the political autonomy of the nation. In this historical context, the Alash Orda movement emerged as the political manifestation of the national liberation idea, while Pan-Turkism became a broad spiritual and ideological framework aimed at the unity of the Turkic world.</w:t>
      </w:r>
    </w:p>
    <w:p w14:paraId="113060C5" w14:textId="77777777" w:rsidR="00B05458" w:rsidRPr="00B05458" w:rsidRDefault="00B05458" w:rsidP="00B05458">
      <w:pPr>
        <w:spacing w:after="0"/>
        <w:ind w:firstLine="567"/>
        <w:jc w:val="both"/>
        <w:rPr>
          <w:lang w:val="kk-KZ"/>
        </w:rPr>
      </w:pPr>
    </w:p>
    <w:p w14:paraId="07FD2AE1" w14:textId="77777777" w:rsidR="00B05458" w:rsidRPr="00B05458" w:rsidRDefault="00B05458" w:rsidP="00B05458">
      <w:pPr>
        <w:spacing w:after="0"/>
        <w:ind w:firstLine="567"/>
        <w:jc w:val="both"/>
        <w:rPr>
          <w:lang w:val="kk-KZ"/>
        </w:rPr>
      </w:pPr>
      <w:r w:rsidRPr="00B05458">
        <w:rPr>
          <w:lang w:val="kk-KZ"/>
        </w:rPr>
        <w:lastRenderedPageBreak/>
        <w:t>Identifying the consonance of these two phenomena remains particularly relevant in contemporary scholarship. Analyzing their historical continuity and spiritual interconnection not only allows for a renewed interpretation of national history but also provides a deeper understanding of the cultural interaction among Turkic peoples. Through the views and writings of the Alash leaders, we can discern the deep roots of national consciousness, the sources of the struggle for freedom, and the historical mechanisms that shaped the idea of independence.</w:t>
      </w:r>
    </w:p>
    <w:p w14:paraId="1662ADE4" w14:textId="77777777" w:rsidR="00B05458" w:rsidRPr="00B05458" w:rsidRDefault="00B05458" w:rsidP="00B05458">
      <w:pPr>
        <w:spacing w:after="0"/>
        <w:ind w:firstLine="567"/>
        <w:jc w:val="both"/>
        <w:rPr>
          <w:lang w:val="kk-KZ"/>
        </w:rPr>
      </w:pPr>
    </w:p>
    <w:p w14:paraId="7D174B48" w14:textId="62B5C77D" w:rsidR="002F0CD8" w:rsidRDefault="00B05458" w:rsidP="00B05458">
      <w:pPr>
        <w:spacing w:after="0"/>
        <w:ind w:firstLine="567"/>
        <w:jc w:val="both"/>
        <w:rPr>
          <w:lang w:val="kk-KZ"/>
        </w:rPr>
      </w:pPr>
      <w:r w:rsidRPr="00B05458">
        <w:rPr>
          <w:lang w:val="kk-KZ"/>
        </w:rPr>
        <w:t>Accordingly, the aim of this study is to analyze the historical and spiritual consonance between the Alash Orda movement and the idea of Pan-Turkism, highlighting their common features in preserving national identity and striving for independence. By achieving this objective, the contemporary significance of the Alash ideas can be revealed, while the civilizational role of Pan-Turkism can be understood in greater depth.</w:t>
      </w:r>
    </w:p>
    <w:p w14:paraId="53716780" w14:textId="77777777" w:rsidR="00B05458" w:rsidRPr="002F0CD8" w:rsidRDefault="00B05458" w:rsidP="00B05458">
      <w:pPr>
        <w:spacing w:after="0"/>
        <w:ind w:firstLine="567"/>
        <w:jc w:val="both"/>
        <w:rPr>
          <w:lang w:val="kk-KZ"/>
        </w:rPr>
      </w:pPr>
    </w:p>
    <w:p w14:paraId="59C14AE8" w14:textId="7D072012" w:rsidR="00B05458" w:rsidRDefault="00B05458" w:rsidP="00FD246D">
      <w:pPr>
        <w:spacing w:after="0"/>
        <w:ind w:firstLine="567"/>
        <w:jc w:val="both"/>
        <w:rPr>
          <w:b/>
          <w:bCs/>
          <w:lang w:val="kk-KZ"/>
        </w:rPr>
      </w:pPr>
      <w:r w:rsidRPr="00B05458">
        <w:rPr>
          <w:b/>
          <w:bCs/>
        </w:rPr>
        <w:t>1.First-Level Title</w:t>
      </w:r>
      <w:r>
        <w:rPr>
          <w:b/>
          <w:bCs/>
          <w:lang w:val="kk-KZ"/>
        </w:rPr>
        <w:t xml:space="preserve"> </w:t>
      </w:r>
    </w:p>
    <w:p w14:paraId="3AF0327D" w14:textId="77777777" w:rsidR="00D1071B" w:rsidRDefault="00D1071B" w:rsidP="00FD246D">
      <w:pPr>
        <w:spacing w:after="0"/>
        <w:ind w:firstLine="567"/>
        <w:jc w:val="both"/>
        <w:rPr>
          <w:lang w:val="kk-KZ"/>
        </w:rPr>
      </w:pPr>
    </w:p>
    <w:p w14:paraId="47E014BF" w14:textId="77777777" w:rsidR="00B05458" w:rsidRPr="00B05458" w:rsidRDefault="00B05458" w:rsidP="00B05458">
      <w:pPr>
        <w:spacing w:after="0"/>
        <w:ind w:firstLine="567"/>
        <w:jc w:val="both"/>
        <w:rPr>
          <w:lang w:val="kk-KZ"/>
        </w:rPr>
      </w:pPr>
      <w:r w:rsidRPr="00B05458">
        <w:rPr>
          <w:lang w:val="kk-KZ"/>
        </w:rPr>
        <w:t>The ideological roots of Pan-Turkism were formed within the framework of the Muslim-equal renewal (jadidism) movement of the early twentieth century, which aimed to create a common cultural space through language, education and the press. The slogan "unity in language, opinion, deeds", proposed by pro – Jadid thinkers and pro-Turkish publicists (Ishmael Gaspraly, Yusuf Akchura, Ziya Gokalp), was intended to update the education system, strengthen the National Press and establish common cultural codes [1], [2]. This orientation was intertwined with the strategies of the later Turkic intelligentsia, including the Alash intelligentsia, to modernize the nation: a textbook in the native language, a reform of spelling and Alphabet, a secular school, a national press – all were considered as real mechanisms of spiritual integrity.</w:t>
      </w:r>
    </w:p>
    <w:p w14:paraId="7A88B6A1" w14:textId="77777777" w:rsidR="00B05458" w:rsidRPr="00B05458" w:rsidRDefault="00B05458" w:rsidP="00B05458">
      <w:pPr>
        <w:spacing w:after="0"/>
        <w:ind w:firstLine="567"/>
        <w:jc w:val="both"/>
        <w:rPr>
          <w:lang w:val="kk-KZ"/>
        </w:rPr>
      </w:pPr>
    </w:p>
    <w:p w14:paraId="69D3371F" w14:textId="77777777" w:rsidR="00B05458" w:rsidRPr="00B05458" w:rsidRDefault="00B05458" w:rsidP="00B05458">
      <w:pPr>
        <w:spacing w:after="0"/>
        <w:ind w:firstLine="567"/>
        <w:jc w:val="both"/>
        <w:rPr>
          <w:lang w:val="kk-KZ"/>
        </w:rPr>
      </w:pPr>
      <w:r w:rsidRPr="00B05458">
        <w:rPr>
          <w:lang w:val="kk-KZ"/>
        </w:rPr>
        <w:t xml:space="preserve">The evolution of Pan-Turkism was studied by J. M. Landau describes in two-stage Logic: from the initial "irredentist" romanticism to the pragmatic, cultural and economic integration after the emergence </w:t>
      </w:r>
      <w:r w:rsidRPr="00B05458">
        <w:rPr>
          <w:lang w:val="kk-KZ"/>
        </w:rPr>
        <w:lastRenderedPageBreak/>
        <w:t xml:space="preserve">of independent Turkic republics [3]. This thesis is combined with the content of the project "Strengthening the national state + solidarity with the Turkic World" proposed by Alash: for Alash, the main value was not external expansion, but, first of all, the preservation of the political, legal, linguistic and cultural basis of the National People. Therefore, pan-Turkism became important in the Alash practice in the aspect of "value intimacy" and "civilizational dialogue". </w:t>
      </w:r>
    </w:p>
    <w:p w14:paraId="66F68B2F" w14:textId="77777777" w:rsidR="00B05458" w:rsidRPr="00B05458" w:rsidRDefault="00B05458" w:rsidP="00B05458">
      <w:pPr>
        <w:spacing w:after="0"/>
        <w:ind w:firstLine="567"/>
        <w:jc w:val="both"/>
        <w:rPr>
          <w:lang w:val="kk-KZ"/>
        </w:rPr>
      </w:pPr>
    </w:p>
    <w:p w14:paraId="1B466BA2" w14:textId="77777777" w:rsidR="00B05458" w:rsidRPr="00B05458" w:rsidRDefault="00B05458" w:rsidP="00B05458">
      <w:pPr>
        <w:spacing w:after="0"/>
        <w:ind w:firstLine="567"/>
        <w:jc w:val="both"/>
        <w:rPr>
          <w:lang w:val="kk-KZ"/>
        </w:rPr>
      </w:pPr>
      <w:r w:rsidRPr="00B05458">
        <w:rPr>
          <w:lang w:val="kk-KZ"/>
        </w:rPr>
        <w:t xml:space="preserve">The real practical steps of the Alash movement-the creation of an intellectual center around the newspaper" Kazakh", the organization of general Kazakh congresses, the systematization of educational activities, the preparation of the concept of national autonomy – were spiritually consonant with the Turkic common space, but were dictated by the internal needs of the Kazakh Society [4]. The study in the bulletin shows that the political, legal and cultural programs proposed by the leaders of the Alash Horde (A. Bokeikhan, A. Baitursynuly, M. Dulatuly, H. Dosmukhameduly, zh. Dosmukhameduly, etc.) are aimed at institutionalizing the idea of national statehood. </w:t>
      </w:r>
    </w:p>
    <w:p w14:paraId="779BEC5B" w14:textId="77777777" w:rsidR="00B05458" w:rsidRPr="00B05458" w:rsidRDefault="00B05458" w:rsidP="00B05458">
      <w:pPr>
        <w:spacing w:after="0"/>
        <w:ind w:firstLine="567"/>
        <w:jc w:val="both"/>
        <w:rPr>
          <w:lang w:val="kk-KZ"/>
        </w:rPr>
      </w:pPr>
    </w:p>
    <w:p w14:paraId="33C75C57" w14:textId="77777777" w:rsidR="00B05458" w:rsidRPr="00B05458" w:rsidRDefault="00B05458" w:rsidP="00B05458">
      <w:pPr>
        <w:spacing w:after="0"/>
        <w:ind w:firstLine="567"/>
        <w:jc w:val="both"/>
        <w:rPr>
          <w:lang w:val="kk-KZ"/>
        </w:rPr>
      </w:pPr>
      <w:r w:rsidRPr="00B05458">
        <w:rPr>
          <w:lang w:val="kk-KZ"/>
        </w:rPr>
        <w:t>The pressure of colonial reforms and resettlement policies pushed the national elite to seek a balance between socio-economic modernization and cultural self-preservation. The work of Martha Brill Olcot systematically describes the long – wave dynamics of this historical context-the land problem, migration, administrative transformations, the role of the Enlightenment [5]. From this point of view, the reforms proposed by Alash, the alphabet, the school, the press, were intertwined with the cultural integration principles of Pan-Turkism, but turned the substantive focus to the institutional needs of Kazakh society.</w:t>
      </w:r>
    </w:p>
    <w:p w14:paraId="022E440F" w14:textId="77777777" w:rsidR="00B05458" w:rsidRPr="00B05458" w:rsidRDefault="00B05458" w:rsidP="00B05458">
      <w:pPr>
        <w:spacing w:after="0"/>
        <w:ind w:firstLine="567"/>
        <w:jc w:val="both"/>
        <w:rPr>
          <w:lang w:val="kk-KZ"/>
        </w:rPr>
      </w:pPr>
    </w:p>
    <w:p w14:paraId="43F5ADBE" w14:textId="77777777" w:rsidR="00B05458" w:rsidRPr="00B05458" w:rsidRDefault="00B05458" w:rsidP="00B05458">
      <w:pPr>
        <w:spacing w:after="0"/>
        <w:ind w:firstLine="567"/>
        <w:jc w:val="both"/>
        <w:rPr>
          <w:lang w:val="kk-KZ"/>
        </w:rPr>
      </w:pPr>
      <w:r w:rsidRPr="00B05458">
        <w:rPr>
          <w:lang w:val="kk-KZ"/>
        </w:rPr>
        <w:t xml:space="preserve">The political content of the Kazakh ethnic identity and the contribution of Alash ideas to the formation of the nation are also clarified by modern research. U. Kesiji analyzes the Alash movement as an ethnopolitical project of the "Russian-educated Kazakh intelligentsia in the Imperial space" and shows a new formation of the concept of "Kazakh" in it [6]. This new understanding, combined with Pan-Turkism at the spiritual level, has led to specific goals at the </w:t>
      </w:r>
      <w:r w:rsidRPr="00B05458">
        <w:rPr>
          <w:lang w:val="kk-KZ"/>
        </w:rPr>
        <w:lastRenderedPageBreak/>
        <w:t>political level, such as "national autonomy – responsible government – rule of Law" [7].</w:t>
      </w:r>
    </w:p>
    <w:p w14:paraId="43173801" w14:textId="77777777" w:rsidR="00B05458" w:rsidRPr="00B05458" w:rsidRDefault="00B05458" w:rsidP="00B05458">
      <w:pPr>
        <w:spacing w:after="0"/>
        <w:ind w:firstLine="567"/>
        <w:jc w:val="both"/>
        <w:rPr>
          <w:lang w:val="kk-KZ"/>
        </w:rPr>
      </w:pPr>
    </w:p>
    <w:p w14:paraId="0AC011F0" w14:textId="6CCC5102" w:rsidR="00B05458" w:rsidRDefault="00B05458" w:rsidP="00B05458">
      <w:pPr>
        <w:spacing w:after="0"/>
        <w:ind w:firstLine="567"/>
        <w:jc w:val="both"/>
        <w:rPr>
          <w:lang w:val="kk-KZ"/>
        </w:rPr>
      </w:pPr>
      <w:r w:rsidRPr="00B05458">
        <w:rPr>
          <w:lang w:val="kk-KZ"/>
        </w:rPr>
        <w:t>The cultural and intellectual platform of Pan-Turkism gave theoretical roots to Alash's program for the modernization of the nation; and the Alash experience supplemented this platform with specific institutions (press, education, legal design) and turned spiritual harmony into a practical modernization. This interaction will allow us to understand today's Turkic integration in historical and ideological terms, and national history-in conjunction with civilizational processes in the region.</w:t>
      </w:r>
    </w:p>
    <w:p w14:paraId="0172AE1B" w14:textId="77777777" w:rsidR="00B05458" w:rsidRPr="00B05458" w:rsidRDefault="00B05458" w:rsidP="00FD246D">
      <w:pPr>
        <w:spacing w:after="0"/>
        <w:ind w:firstLine="567"/>
        <w:jc w:val="both"/>
        <w:rPr>
          <w:lang w:val="kk-KZ"/>
        </w:rPr>
      </w:pPr>
    </w:p>
    <w:p w14:paraId="19E28FC7" w14:textId="0208C0CD" w:rsidR="000112FC" w:rsidRDefault="000112FC" w:rsidP="000026D7">
      <w:pPr>
        <w:spacing w:after="0"/>
        <w:ind w:firstLine="567"/>
        <w:jc w:val="both"/>
        <w:rPr>
          <w:b/>
          <w:bCs/>
          <w:lang w:val="kk-KZ"/>
        </w:rPr>
      </w:pPr>
      <w:r w:rsidRPr="000112FC">
        <w:rPr>
          <w:b/>
          <w:bCs/>
        </w:rPr>
        <w:t>1.First-Level Title</w:t>
      </w:r>
    </w:p>
    <w:p w14:paraId="37FE3A81" w14:textId="5AB31E94" w:rsidR="000112FC" w:rsidRPr="000112FC" w:rsidRDefault="000112FC" w:rsidP="000112FC">
      <w:pPr>
        <w:ind w:firstLine="567"/>
        <w:jc w:val="both"/>
        <w:rPr>
          <w:lang w:val="kk-KZ"/>
        </w:rPr>
      </w:pPr>
      <w:r w:rsidRPr="000112FC">
        <w:rPr>
          <w:lang w:val="kk-KZ"/>
        </w:rPr>
        <w:t>The relationship between the alashorda movement and the idea of Pan-Turkism is currently the subject of research by historians and Turkologists. The main direction of works in this area is to identify common prerequisites, intellectual integration and their reflection in regional national movements of the Turkic revival at the beginning of the twentieth century.</w:t>
      </w:r>
    </w:p>
    <w:p w14:paraId="28931CA7" w14:textId="6E20D65F" w:rsidR="000112FC" w:rsidRPr="000112FC" w:rsidRDefault="000112FC" w:rsidP="000112FC">
      <w:pPr>
        <w:ind w:firstLine="567"/>
        <w:jc w:val="both"/>
        <w:rPr>
          <w:lang w:val="kk-KZ"/>
        </w:rPr>
      </w:pPr>
      <w:r w:rsidRPr="000112FC">
        <w:rPr>
          <w:lang w:val="kk-KZ"/>
        </w:rPr>
        <w:t>For Example, J. Landau's work describes the political evolution of Pan-Turkism and systematically examines its influence in various historical periods [8]. The author initially valued pan-Turkism as an idea within the framework of "National Romanticism" and shows that in a later era it became a pragmatic movement that aimed at cultural and economic integration. This conclusion gives reason to understand the periodical nature of the Alash movement, since the idea of Alash emphasized cultural and spiritual commonality, making national autonomy the main target.</w:t>
      </w:r>
    </w:p>
    <w:p w14:paraId="6FFF8389" w14:textId="02E08042" w:rsidR="000112FC" w:rsidRPr="000112FC" w:rsidRDefault="000112FC" w:rsidP="000112FC">
      <w:pPr>
        <w:ind w:firstLine="567"/>
        <w:jc w:val="both"/>
        <w:rPr>
          <w:lang w:val="kk-KZ"/>
        </w:rPr>
      </w:pPr>
      <w:r w:rsidRPr="000112FC">
        <w:rPr>
          <w:lang w:val="kk-KZ"/>
        </w:rPr>
        <w:t>In the studies of A. Khalid, the relationship between jadeism and Pan-Turkism is deeply analyzed and the place of the education system and the press in national movements is determined [9]. Noting the importance of the triad "til – school – newspaper" in the cultural revival of the Turkic peoples, he also considers the activities of the Kazakh intelligentsia in this direction as a continuation of the idea of Pan-Turkism. This is an important fact that reflects the harmony of Alashorda and Pan-Turkism.</w:t>
      </w:r>
    </w:p>
    <w:p w14:paraId="416B8072" w14:textId="79A50385" w:rsidR="000112FC" w:rsidRPr="000112FC" w:rsidRDefault="000112FC" w:rsidP="000112FC">
      <w:pPr>
        <w:ind w:firstLine="567"/>
        <w:jc w:val="both"/>
        <w:rPr>
          <w:lang w:val="kk-KZ"/>
        </w:rPr>
      </w:pPr>
      <w:r w:rsidRPr="000112FC">
        <w:rPr>
          <w:lang w:val="kk-KZ"/>
        </w:rPr>
        <w:lastRenderedPageBreak/>
        <w:t>Martha Brill Olkot, studying the political history of the Kazakh people, widely analyzes the role of the Alash movement in the formation of national statehood [10]. In his works, the fact that the Kazakh intelligentsia raised ethnic identity to the political level in response to colonial reforms is evidenced by specific examples. It turns out that this step has a spiritual continuity with Pan-Turkism.</w:t>
      </w:r>
    </w:p>
    <w:p w14:paraId="1FC29486" w14:textId="4A84F137" w:rsidR="000112FC" w:rsidRPr="000112FC" w:rsidRDefault="000112FC" w:rsidP="000112FC">
      <w:pPr>
        <w:ind w:firstLine="567"/>
        <w:jc w:val="both"/>
        <w:rPr>
          <w:lang w:val="kk-KZ"/>
        </w:rPr>
      </w:pPr>
      <w:r w:rsidRPr="000112FC">
        <w:rPr>
          <w:lang w:val="kk-KZ"/>
        </w:rPr>
        <w:t>And in modern studies (U. Kesiji, A. Kalirad, etc.), the Alash movement is considered as an ethnopolitical project and its influence on the process of nation formation in the region is studied [11], [12]. These works emphasize not only the influence of the ideology of Alashorda on national consciousness and the idea of statehood, but also the spiritual continuity with the Turkic space.</w:t>
      </w:r>
    </w:p>
    <w:p w14:paraId="06C89154" w14:textId="77777777" w:rsidR="000112FC" w:rsidRPr="000112FC" w:rsidRDefault="000112FC" w:rsidP="000112FC">
      <w:pPr>
        <w:ind w:firstLine="567"/>
        <w:jc w:val="both"/>
        <w:rPr>
          <w:lang w:val="kk-KZ"/>
        </w:rPr>
      </w:pPr>
      <w:r w:rsidRPr="000112FC">
        <w:rPr>
          <w:lang w:val="kk-KZ"/>
        </w:rPr>
        <w:t>Research on alashorda and Pan-Turkism reveals their political and ideological content, cultural and spiritual influence and historical continuity from different angles. For example, Landau (1995) broadly describes the evolution of Pan-Turkism, while Khalid (1999) considers jadeism and Turkic revival in the context of a common Muslim cultural movement. Although Olcott (1987) analyzes national ideas in Kazakh society, his real contribution to the pan-Turkist orientation is not systematically considered. Therefore, a special comparative study of the contribution of the Kazakh intelligentsia to pan-Turkism has not yet been fully realized in modern science.</w:t>
      </w:r>
    </w:p>
    <w:p w14:paraId="577C0347" w14:textId="77777777" w:rsidR="000112FC" w:rsidRPr="000112FC" w:rsidRDefault="000112FC" w:rsidP="000112FC">
      <w:pPr>
        <w:ind w:firstLine="567"/>
        <w:jc w:val="both"/>
        <w:rPr>
          <w:lang w:val="kk-KZ"/>
        </w:rPr>
      </w:pPr>
      <w:r w:rsidRPr="000112FC">
        <w:rPr>
          <w:lang w:val="kk-KZ"/>
        </w:rPr>
        <w:t xml:space="preserve">In the analysis of the ideas of Alash figures, comparing them with the conclusions of pan-Turkist thinkers. For example, for the first time, the harmony between the principle of "unity in language, opinion, deeds" of Zia Gokalp and the problems of the National School, the reform of the alphabet, the Enlightenment raised by the Alash intelligentsia through the newspaper "Kazakh" is shown in a systematic comparative way. The study also proves the spiritual harmony between the works of A. Bokeikhan, A. Baitursynuly, M. Dulatuly and pan-Turkist ideas based on real data. </w:t>
      </w:r>
    </w:p>
    <w:p w14:paraId="16CF0483" w14:textId="4B96AABC" w:rsidR="000112FC" w:rsidRDefault="000112FC" w:rsidP="000112FC">
      <w:pPr>
        <w:ind w:firstLine="567"/>
        <w:jc w:val="both"/>
        <w:rPr>
          <w:lang w:val="kk-KZ"/>
        </w:rPr>
      </w:pPr>
      <w:r w:rsidRPr="000112FC">
        <w:rPr>
          <w:lang w:val="kk-KZ"/>
        </w:rPr>
        <w:t>The spiritual harmony between the idea of Alash and Pan-Turkism is considered on a new methodological basis, through historical-comparative and substantive analysis, and a new conclusion is presented to the scientific circulation.</w:t>
      </w:r>
    </w:p>
    <w:p w14:paraId="31ACAFD6" w14:textId="77777777" w:rsidR="000112FC" w:rsidRDefault="000112FC" w:rsidP="007E6C48">
      <w:pPr>
        <w:ind w:firstLine="567"/>
        <w:jc w:val="both"/>
        <w:rPr>
          <w:b/>
          <w:bCs/>
          <w:lang w:val="kk-KZ"/>
        </w:rPr>
      </w:pPr>
      <w:r w:rsidRPr="000112FC">
        <w:rPr>
          <w:b/>
          <w:bCs/>
        </w:rPr>
        <w:lastRenderedPageBreak/>
        <w:t>Method</w:t>
      </w:r>
    </w:p>
    <w:p w14:paraId="5EA66B94" w14:textId="06A2E15F" w:rsidR="000112FC" w:rsidRDefault="000112FC" w:rsidP="007E6C48">
      <w:pPr>
        <w:ind w:firstLine="567"/>
        <w:jc w:val="both"/>
        <w:rPr>
          <w:lang w:val="kk-KZ"/>
        </w:rPr>
      </w:pPr>
      <w:r w:rsidRPr="000112FC">
        <w:t xml:space="preserve">This study relies on the methods of historical-comparative analysis and content-ideological analysis. The main goal is to reveal the spiritual harmony of the alashorda movement and the idea of Pan – Turkism on a scientific basis. On this occasion: * Historical-comparative method-was used to identify ideological similarities and differences, comparing the works of alashorda figures and the works of pan-Turkist thinkers. * Method of content analysis-based on systematic analysis of data in the Kazakh and Turkic press. * Method of systematization and grouping – made it possible to structure research materials by dividing them into thematic categories. </w:t>
      </w:r>
    </w:p>
    <w:p w14:paraId="6D5C2A25" w14:textId="09676550" w:rsidR="000026D7" w:rsidRDefault="000112FC" w:rsidP="007E6C48">
      <w:pPr>
        <w:ind w:firstLine="567"/>
        <w:jc w:val="both"/>
        <w:rPr>
          <w:lang w:val="kk-KZ"/>
        </w:rPr>
      </w:pPr>
      <w:r w:rsidRPr="000112FC">
        <w:t>Table 1-comparative analysis of the ideas of Alashorda and Pan-Turkism</w:t>
      </w:r>
    </w:p>
    <w:tbl>
      <w:tblPr>
        <w:tblStyle w:val="a9"/>
        <w:tblW w:w="6227" w:type="dxa"/>
        <w:tblLook w:val="04A0" w:firstRow="1" w:lastRow="0" w:firstColumn="1" w:lastColumn="0" w:noHBand="0" w:noVBand="1"/>
      </w:tblPr>
      <w:tblGrid>
        <w:gridCol w:w="1237"/>
        <w:gridCol w:w="1805"/>
        <w:gridCol w:w="1615"/>
        <w:gridCol w:w="1570"/>
      </w:tblGrid>
      <w:tr w:rsidR="00383D79" w:rsidRPr="00383D79" w14:paraId="6D9F59B8" w14:textId="77777777" w:rsidTr="00383D79">
        <w:tc>
          <w:tcPr>
            <w:tcW w:w="0" w:type="auto"/>
            <w:hideMark/>
          </w:tcPr>
          <w:p w14:paraId="615026ED" w14:textId="77777777" w:rsidR="00383D79" w:rsidRPr="00383D79" w:rsidRDefault="00383D79" w:rsidP="00383D79">
            <w:pPr>
              <w:jc w:val="center"/>
              <w:rPr>
                <w:rFonts w:eastAsia="Times New Roman"/>
                <w:sz w:val="20"/>
                <w:szCs w:val="20"/>
                <w:lang w:val="ru-KZ" w:eastAsia="ru-KZ"/>
              </w:rPr>
            </w:pPr>
            <w:r w:rsidRPr="00383D79">
              <w:rPr>
                <w:rFonts w:eastAsia="Times New Roman"/>
                <w:sz w:val="20"/>
                <w:szCs w:val="20"/>
                <w:lang w:val="ru-KZ" w:eastAsia="ru-KZ"/>
              </w:rPr>
              <w:t>Indicator</w:t>
            </w:r>
          </w:p>
        </w:tc>
        <w:tc>
          <w:tcPr>
            <w:tcW w:w="0" w:type="auto"/>
            <w:hideMark/>
          </w:tcPr>
          <w:p w14:paraId="5AF22CD6" w14:textId="77777777" w:rsidR="00383D79" w:rsidRPr="00383D79" w:rsidRDefault="00383D79" w:rsidP="00383D79">
            <w:pPr>
              <w:jc w:val="center"/>
              <w:rPr>
                <w:rFonts w:eastAsia="Times New Roman"/>
                <w:sz w:val="20"/>
                <w:szCs w:val="20"/>
                <w:lang w:val="ru-KZ" w:eastAsia="ru-KZ"/>
              </w:rPr>
            </w:pPr>
            <w:r w:rsidRPr="00383D79">
              <w:rPr>
                <w:rFonts w:eastAsia="Times New Roman"/>
                <w:sz w:val="20"/>
                <w:szCs w:val="20"/>
                <w:lang w:val="ru-KZ" w:eastAsia="ru-KZ"/>
              </w:rPr>
              <w:t>Alash Orda Ideas</w:t>
            </w:r>
          </w:p>
        </w:tc>
        <w:tc>
          <w:tcPr>
            <w:tcW w:w="0" w:type="auto"/>
            <w:hideMark/>
          </w:tcPr>
          <w:p w14:paraId="17AEE64F" w14:textId="77777777" w:rsidR="00383D79" w:rsidRPr="00383D79" w:rsidRDefault="00383D79" w:rsidP="00383D79">
            <w:pPr>
              <w:jc w:val="center"/>
              <w:rPr>
                <w:rFonts w:eastAsia="Times New Roman"/>
                <w:sz w:val="20"/>
                <w:szCs w:val="20"/>
                <w:lang w:val="ru-KZ" w:eastAsia="ru-KZ"/>
              </w:rPr>
            </w:pPr>
            <w:r w:rsidRPr="00383D79">
              <w:rPr>
                <w:rFonts w:eastAsia="Times New Roman"/>
                <w:sz w:val="20"/>
                <w:szCs w:val="20"/>
                <w:lang w:val="ru-KZ" w:eastAsia="ru-KZ"/>
              </w:rPr>
              <w:t>Pan-Turkism Ideas</w:t>
            </w:r>
          </w:p>
        </w:tc>
        <w:tc>
          <w:tcPr>
            <w:tcW w:w="0" w:type="auto"/>
            <w:hideMark/>
          </w:tcPr>
          <w:p w14:paraId="2BC63300" w14:textId="77777777" w:rsidR="00383D79" w:rsidRPr="00383D79" w:rsidRDefault="00383D79" w:rsidP="00383D79">
            <w:pPr>
              <w:jc w:val="center"/>
              <w:rPr>
                <w:rFonts w:eastAsia="Times New Roman"/>
                <w:sz w:val="20"/>
                <w:szCs w:val="20"/>
                <w:lang w:val="ru-KZ" w:eastAsia="ru-KZ"/>
              </w:rPr>
            </w:pPr>
            <w:r w:rsidRPr="00383D79">
              <w:rPr>
                <w:rFonts w:eastAsia="Times New Roman"/>
                <w:sz w:val="20"/>
                <w:szCs w:val="20"/>
                <w:lang w:val="ru-KZ" w:eastAsia="ru-KZ"/>
              </w:rPr>
              <w:t>Common Features</w:t>
            </w:r>
          </w:p>
        </w:tc>
      </w:tr>
      <w:tr w:rsidR="00383D79" w:rsidRPr="00383D79" w14:paraId="7381FC23" w14:textId="77777777" w:rsidTr="00383D79">
        <w:tc>
          <w:tcPr>
            <w:tcW w:w="0" w:type="auto"/>
            <w:hideMark/>
          </w:tcPr>
          <w:p w14:paraId="1541D611"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Objective</w:t>
            </w:r>
          </w:p>
        </w:tc>
        <w:tc>
          <w:tcPr>
            <w:tcW w:w="0" w:type="auto"/>
            <w:hideMark/>
          </w:tcPr>
          <w:p w14:paraId="19BE0526"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Establishing Kazakh autonomy, strengthening national statehood</w:t>
            </w:r>
          </w:p>
        </w:tc>
        <w:tc>
          <w:tcPr>
            <w:tcW w:w="0" w:type="auto"/>
            <w:hideMark/>
          </w:tcPr>
          <w:p w14:paraId="29D83469"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Uniting all Turkic peoples</w:t>
            </w:r>
          </w:p>
        </w:tc>
        <w:tc>
          <w:tcPr>
            <w:tcW w:w="0" w:type="auto"/>
            <w:hideMark/>
          </w:tcPr>
          <w:p w14:paraId="665F5D0F"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Striving for national independence</w:t>
            </w:r>
          </w:p>
        </w:tc>
      </w:tr>
      <w:tr w:rsidR="00383D79" w:rsidRPr="00383D79" w14:paraId="5C314683" w14:textId="77777777" w:rsidTr="00383D79">
        <w:tc>
          <w:tcPr>
            <w:tcW w:w="0" w:type="auto"/>
            <w:hideMark/>
          </w:tcPr>
          <w:p w14:paraId="5CB2B5F0"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Main Instruments</w:t>
            </w:r>
          </w:p>
        </w:tc>
        <w:tc>
          <w:tcPr>
            <w:tcW w:w="0" w:type="auto"/>
            <w:hideMark/>
          </w:tcPr>
          <w:p w14:paraId="4EFA8F54"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Education, press, national alphabet reform</w:t>
            </w:r>
          </w:p>
        </w:tc>
        <w:tc>
          <w:tcPr>
            <w:tcW w:w="0" w:type="auto"/>
            <w:hideMark/>
          </w:tcPr>
          <w:p w14:paraId="7D596CDE"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Education, culture, linguistic unity</w:t>
            </w:r>
          </w:p>
        </w:tc>
        <w:tc>
          <w:tcPr>
            <w:tcW w:w="0" w:type="auto"/>
            <w:hideMark/>
          </w:tcPr>
          <w:p w14:paraId="6AB27B4E"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Education and cultural integrity</w:t>
            </w:r>
          </w:p>
        </w:tc>
      </w:tr>
      <w:tr w:rsidR="00383D79" w:rsidRPr="00383D79" w14:paraId="7D9B7502" w14:textId="77777777" w:rsidTr="00383D79">
        <w:tc>
          <w:tcPr>
            <w:tcW w:w="0" w:type="auto"/>
            <w:hideMark/>
          </w:tcPr>
          <w:p w14:paraId="696AEDFF"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Spiritual Content</w:t>
            </w:r>
          </w:p>
        </w:tc>
        <w:tc>
          <w:tcPr>
            <w:tcW w:w="0" w:type="auto"/>
            <w:hideMark/>
          </w:tcPr>
          <w:p w14:paraId="46394ABE"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Revival of national consciousness and identity</w:t>
            </w:r>
          </w:p>
        </w:tc>
        <w:tc>
          <w:tcPr>
            <w:tcW w:w="0" w:type="auto"/>
            <w:hideMark/>
          </w:tcPr>
          <w:p w14:paraId="1EF54593"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Preservation of common Turkic civilizational values</w:t>
            </w:r>
          </w:p>
        </w:tc>
        <w:tc>
          <w:tcPr>
            <w:tcW w:w="0" w:type="auto"/>
            <w:hideMark/>
          </w:tcPr>
          <w:p w14:paraId="427AD71E"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Unity of language, religion, and culture</w:t>
            </w:r>
          </w:p>
        </w:tc>
      </w:tr>
      <w:tr w:rsidR="00383D79" w:rsidRPr="00383D79" w14:paraId="48D1A897" w14:textId="77777777" w:rsidTr="00383D79">
        <w:tc>
          <w:tcPr>
            <w:tcW w:w="0" w:type="auto"/>
            <w:hideMark/>
          </w:tcPr>
          <w:p w14:paraId="4FE4C922"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Political Orientation</w:t>
            </w:r>
          </w:p>
        </w:tc>
        <w:tc>
          <w:tcPr>
            <w:tcW w:w="0" w:type="auto"/>
            <w:hideMark/>
          </w:tcPr>
          <w:p w14:paraId="1704FD7D"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Securing official recognition of Kazakh autonomy</w:t>
            </w:r>
          </w:p>
        </w:tc>
        <w:tc>
          <w:tcPr>
            <w:tcW w:w="0" w:type="auto"/>
            <w:hideMark/>
          </w:tcPr>
          <w:p w14:paraId="357D599C"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Political cooperation of the Turkic world</w:t>
            </w:r>
          </w:p>
        </w:tc>
        <w:tc>
          <w:tcPr>
            <w:tcW w:w="0" w:type="auto"/>
            <w:hideMark/>
          </w:tcPr>
          <w:p w14:paraId="24E38E2A" w14:textId="77777777" w:rsidR="00383D79" w:rsidRPr="00383D79" w:rsidRDefault="00383D79" w:rsidP="00383D79">
            <w:pPr>
              <w:rPr>
                <w:rFonts w:eastAsia="Times New Roman"/>
                <w:sz w:val="20"/>
                <w:szCs w:val="20"/>
                <w:lang w:val="ru-KZ" w:eastAsia="ru-KZ"/>
              </w:rPr>
            </w:pPr>
            <w:r w:rsidRPr="00383D79">
              <w:rPr>
                <w:rFonts w:eastAsia="Times New Roman"/>
                <w:sz w:val="20"/>
                <w:szCs w:val="20"/>
                <w:lang w:val="ru-KZ" w:eastAsia="ru-KZ"/>
              </w:rPr>
              <w:t>Protection of national rights and freedoms</w:t>
            </w:r>
          </w:p>
        </w:tc>
      </w:tr>
    </w:tbl>
    <w:p w14:paraId="005D8144" w14:textId="3C2FF72E" w:rsidR="000026D7" w:rsidRDefault="00A2374E" w:rsidP="00482A78">
      <w:pPr>
        <w:jc w:val="both"/>
        <w:rPr>
          <w:lang w:val="kk-KZ"/>
        </w:rPr>
      </w:pPr>
      <w:r>
        <w:rPr>
          <w:noProof/>
          <w:lang w:val="ru-RU" w:eastAsia="ru-RU"/>
        </w:rPr>
        <w:drawing>
          <wp:anchor distT="0" distB="0" distL="114300" distR="114300" simplePos="0" relativeHeight="251658240" behindDoc="1" locked="0" layoutInCell="1" allowOverlap="1" wp14:anchorId="754CDC55" wp14:editId="7A426512">
            <wp:simplePos x="0" y="0"/>
            <wp:positionH relativeFrom="margin">
              <wp:align>center</wp:align>
            </wp:positionH>
            <wp:positionV relativeFrom="paragraph">
              <wp:posOffset>59690</wp:posOffset>
            </wp:positionV>
            <wp:extent cx="4007615" cy="2650490"/>
            <wp:effectExtent l="0" t="0" r="0" b="0"/>
            <wp:wrapNone/>
            <wp:docPr id="20579125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7615" cy="2650490"/>
                    </a:xfrm>
                    <a:prstGeom prst="rect">
                      <a:avLst/>
                    </a:prstGeom>
                    <a:noFill/>
                  </pic:spPr>
                </pic:pic>
              </a:graphicData>
            </a:graphic>
            <wp14:sizeRelH relativeFrom="page">
              <wp14:pctWidth>0</wp14:pctWidth>
            </wp14:sizeRelH>
            <wp14:sizeRelV relativeFrom="page">
              <wp14:pctHeight>0</wp14:pctHeight>
            </wp14:sizeRelV>
          </wp:anchor>
        </w:drawing>
      </w:r>
    </w:p>
    <w:p w14:paraId="66C03C05" w14:textId="66AAA95B" w:rsidR="000026D7" w:rsidRPr="000026D7" w:rsidRDefault="000026D7" w:rsidP="007E6C48">
      <w:pPr>
        <w:ind w:firstLine="567"/>
        <w:jc w:val="both"/>
        <w:rPr>
          <w:lang w:val="kk-KZ"/>
        </w:rPr>
      </w:pPr>
    </w:p>
    <w:p w14:paraId="2459FAA4" w14:textId="675031D1" w:rsidR="000026D7" w:rsidRDefault="000026D7" w:rsidP="007E6C48">
      <w:pPr>
        <w:ind w:firstLine="567"/>
        <w:jc w:val="both"/>
        <w:rPr>
          <w:lang w:val="ru-KZ"/>
        </w:rPr>
      </w:pPr>
    </w:p>
    <w:p w14:paraId="03181398" w14:textId="53B09FCB" w:rsidR="000026D7" w:rsidRDefault="000026D7" w:rsidP="007E6C48">
      <w:pPr>
        <w:ind w:firstLine="567"/>
        <w:jc w:val="both"/>
        <w:rPr>
          <w:lang w:val="ru-KZ"/>
        </w:rPr>
      </w:pPr>
    </w:p>
    <w:p w14:paraId="414A8B04" w14:textId="3259C281" w:rsidR="000026D7" w:rsidRDefault="000026D7" w:rsidP="007E6C48">
      <w:pPr>
        <w:ind w:firstLine="567"/>
        <w:jc w:val="both"/>
        <w:rPr>
          <w:lang w:val="ru-KZ"/>
        </w:rPr>
      </w:pPr>
    </w:p>
    <w:p w14:paraId="1C181A5E" w14:textId="77777777" w:rsidR="00383D79" w:rsidRDefault="00383D79" w:rsidP="000026D7">
      <w:pPr>
        <w:ind w:firstLine="567"/>
        <w:jc w:val="both"/>
        <w:rPr>
          <w:lang w:val="ru-KZ"/>
        </w:rPr>
      </w:pPr>
    </w:p>
    <w:p w14:paraId="378733FB" w14:textId="0D987B56" w:rsidR="000026D7" w:rsidRDefault="000026D7" w:rsidP="007E6C48">
      <w:pPr>
        <w:ind w:firstLine="567"/>
        <w:jc w:val="both"/>
        <w:rPr>
          <w:b/>
          <w:bCs/>
          <w:lang w:val="kk-KZ"/>
        </w:rPr>
      </w:pPr>
      <w:r>
        <w:rPr>
          <w:b/>
          <w:bCs/>
          <w:lang w:val="kk-KZ"/>
        </w:rPr>
        <w:lastRenderedPageBreak/>
        <w:t xml:space="preserve">        </w:t>
      </w:r>
      <w:r w:rsidR="00383D79" w:rsidRPr="00383D79">
        <w:rPr>
          <w:b/>
          <w:bCs/>
        </w:rPr>
        <w:t>Figure 1. Interrelation of Research Methods</w:t>
      </w:r>
    </w:p>
    <w:p w14:paraId="361713C2" w14:textId="77777777" w:rsidR="00383D79" w:rsidRDefault="00383D79" w:rsidP="000026D7">
      <w:pPr>
        <w:spacing w:after="0"/>
        <w:ind w:firstLine="567"/>
        <w:jc w:val="both"/>
        <w:rPr>
          <w:b/>
          <w:bCs/>
          <w:lang w:val="kk-KZ"/>
        </w:rPr>
      </w:pPr>
    </w:p>
    <w:p w14:paraId="0A2FD54A" w14:textId="68162F07" w:rsidR="00383D79" w:rsidRDefault="00383D79" w:rsidP="000026D7">
      <w:pPr>
        <w:spacing w:after="0"/>
        <w:ind w:firstLine="567"/>
        <w:jc w:val="both"/>
        <w:rPr>
          <w:b/>
          <w:bCs/>
          <w:lang w:val="kk-KZ"/>
        </w:rPr>
      </w:pPr>
      <w:r w:rsidRPr="00383D79">
        <w:rPr>
          <w:b/>
          <w:bCs/>
        </w:rPr>
        <w:t>Findings</w:t>
      </w:r>
    </w:p>
    <w:p w14:paraId="5A648712" w14:textId="77777777" w:rsidR="00383D79" w:rsidRDefault="00383D79" w:rsidP="00383D79">
      <w:pPr>
        <w:spacing w:after="0"/>
        <w:ind w:firstLine="567"/>
        <w:jc w:val="both"/>
        <w:rPr>
          <w:lang w:val="ru-KZ"/>
        </w:rPr>
      </w:pPr>
    </w:p>
    <w:p w14:paraId="76F5D0A0" w14:textId="13630FDF" w:rsidR="00383D79" w:rsidRPr="00383D79" w:rsidRDefault="00383D79" w:rsidP="00383D79">
      <w:pPr>
        <w:spacing w:after="0"/>
        <w:ind w:firstLine="567"/>
        <w:jc w:val="both"/>
        <w:rPr>
          <w:lang w:val="ru-KZ"/>
        </w:rPr>
      </w:pPr>
      <w:r w:rsidRPr="00383D79">
        <w:rPr>
          <w:lang w:val="ru-KZ"/>
        </w:rPr>
        <w:t>The research revealed a clear spiritual consonance and historical continuity between the ideas of the Alash Orda movement and the doctrine of Pan-Turkism. As demonstrated by the tabular analysis, the primary objective of both movements was the preservation of national freedom and cultural integrity. While the Alash Orda sought to establish national autonomy, Pan-Turkism aimed at the broader unity of the entire Turkic world. Nevertheless, the ultimate shared essence of both ideas lay in the revival of national consciousness, the development of education and culture, and the preservation of language and religion.</w:t>
      </w:r>
    </w:p>
    <w:p w14:paraId="4F517592" w14:textId="77777777" w:rsidR="00383D79" w:rsidRPr="00383D79" w:rsidRDefault="00383D79" w:rsidP="00383D79">
      <w:pPr>
        <w:spacing w:after="0"/>
        <w:ind w:firstLine="567"/>
        <w:jc w:val="both"/>
        <w:rPr>
          <w:lang w:val="ru-KZ"/>
        </w:rPr>
      </w:pPr>
      <w:r w:rsidRPr="00383D79">
        <w:rPr>
          <w:lang w:val="ru-KZ"/>
        </w:rPr>
        <w:t>As shown in the comparative table, both ideologies considered education to be the key instrument. This conclusion underscores the significance of the press, the school system, alphabet reform, and educational activities. The specific projects proposed by the Alash intellectuals were in harmony with the spiritual and cultural orientation of Pan-Turkism, thereby becoming concrete mechanisms of national renewal.</w:t>
      </w:r>
    </w:p>
    <w:p w14:paraId="03184E2A" w14:textId="77777777" w:rsidR="00383D79" w:rsidRPr="00383D79" w:rsidRDefault="00383D79" w:rsidP="00383D79">
      <w:pPr>
        <w:spacing w:after="0"/>
        <w:ind w:firstLine="567"/>
        <w:jc w:val="both"/>
        <w:rPr>
          <w:lang w:val="ru-KZ"/>
        </w:rPr>
      </w:pPr>
      <w:r w:rsidRPr="00383D79">
        <w:rPr>
          <w:lang w:val="ru-KZ"/>
        </w:rPr>
        <w:t>The results illustrated in the diagram indicate that content analysis was the most prominent research method (25%). Through this method, texts and works addressing the ideas of Alash and Pan-Turkism were systematically examined. The historical-comparative method accounted for 20%, identifying the ideological and historical parallels of the two movements. Systematization and classification represented 15%, enabling the structuring of data. Meanwhile, comparative outcomes and the identification of conceptual consonance constituted 40% of the overall findings.</w:t>
      </w:r>
    </w:p>
    <w:p w14:paraId="567B58DB" w14:textId="396283B2" w:rsidR="00383D79" w:rsidRPr="00383D79" w:rsidRDefault="00383D79" w:rsidP="00383D79">
      <w:pPr>
        <w:spacing w:after="0"/>
        <w:ind w:firstLine="567"/>
        <w:jc w:val="both"/>
        <w:rPr>
          <w:lang w:val="ru-KZ"/>
        </w:rPr>
      </w:pPr>
      <w:r>
        <w:rPr>
          <w:lang w:val="en-US"/>
        </w:rPr>
        <w:t>T</w:t>
      </w:r>
      <w:r w:rsidRPr="00383D79">
        <w:rPr>
          <w:lang w:val="ru-KZ"/>
        </w:rPr>
        <w:t>he study demonstrated that the ideas of Alash Orda were closely connected to Pan-Turkism not only politically but, above all, culturally and spiritually. This consonance strengthened the national identity of Kazakh society and created an ideological platform of historical significance on the path toward independence.</w:t>
      </w:r>
    </w:p>
    <w:p w14:paraId="6368FEF8" w14:textId="77777777" w:rsidR="000026D7" w:rsidRPr="000026D7" w:rsidRDefault="000026D7" w:rsidP="000026D7">
      <w:pPr>
        <w:spacing w:after="0"/>
        <w:ind w:firstLine="567"/>
        <w:jc w:val="both"/>
        <w:rPr>
          <w:lang w:val="ru-KZ"/>
        </w:rPr>
      </w:pPr>
    </w:p>
    <w:p w14:paraId="3D9F6A33" w14:textId="04EE5A44" w:rsidR="00383D79" w:rsidRPr="00383D79" w:rsidRDefault="00383D79" w:rsidP="00383D79">
      <w:pPr>
        <w:ind w:firstLine="567"/>
        <w:jc w:val="both"/>
        <w:rPr>
          <w:b/>
          <w:bCs/>
          <w:lang w:val="ru-KZ"/>
        </w:rPr>
      </w:pPr>
      <w:r w:rsidRPr="00383D79">
        <w:rPr>
          <w:b/>
          <w:bCs/>
          <w:lang w:val="ru-KZ"/>
        </w:rPr>
        <w:t>Conclusion</w:t>
      </w:r>
      <w:r>
        <w:rPr>
          <w:b/>
          <w:bCs/>
          <w:lang w:val="ru-KZ"/>
        </w:rPr>
        <w:t>:</w:t>
      </w:r>
    </w:p>
    <w:p w14:paraId="27BA0683" w14:textId="77777777" w:rsidR="00383D79" w:rsidRPr="00383D79" w:rsidRDefault="00383D79" w:rsidP="00383D79">
      <w:pPr>
        <w:ind w:firstLine="567"/>
        <w:jc w:val="both"/>
        <w:rPr>
          <w:lang w:val="ru-KZ"/>
        </w:rPr>
      </w:pPr>
      <w:r w:rsidRPr="00383D79">
        <w:rPr>
          <w:lang w:val="ru-KZ"/>
        </w:rPr>
        <w:lastRenderedPageBreak/>
        <w:t xml:space="preserve">The </w:t>
      </w:r>
      <w:bookmarkStart w:id="0" w:name="_GoBack"/>
      <w:bookmarkEnd w:id="0"/>
      <w:r w:rsidRPr="00383D79">
        <w:rPr>
          <w:lang w:val="ru-KZ"/>
        </w:rPr>
        <w:t>findings of the study clearly demonstrate the historical continuity and spiritual consonance between the ideas of the Alash Orda movement and the doctrine of Pan-Turkism. While the Kazakh intellectuals of the early twentieth century focused on establishing national autonomy, preserving language and religion, and promoting culture and education, Pan-Turkism addressed these objectives on a broader civilizational scale, seeking to ensure the unity of all Turkic peoples.</w:t>
      </w:r>
    </w:p>
    <w:p w14:paraId="26989D38" w14:textId="77777777" w:rsidR="00383D79" w:rsidRPr="00383D79" w:rsidRDefault="00383D79" w:rsidP="00383D79">
      <w:pPr>
        <w:ind w:firstLine="567"/>
        <w:jc w:val="both"/>
        <w:rPr>
          <w:lang w:val="ru-KZ"/>
        </w:rPr>
      </w:pPr>
      <w:r w:rsidRPr="00383D79">
        <w:rPr>
          <w:lang w:val="ru-KZ"/>
        </w:rPr>
        <w:t>Both movements drew upon shared values: awakening national consciousness, advancing enlightenment, safeguarding cultural integrity, and realizing the idea of freedom. From this perspective, the Alash Orda program can be regarded as a unique manifestation of Pan-Turkist thought within Kazakh society, adapted to its national context.</w:t>
      </w:r>
    </w:p>
    <w:p w14:paraId="47D427B6" w14:textId="77777777" w:rsidR="00383D79" w:rsidRPr="00383D79" w:rsidRDefault="00383D79" w:rsidP="00383D79">
      <w:pPr>
        <w:ind w:firstLine="567"/>
        <w:jc w:val="both"/>
        <w:rPr>
          <w:lang w:val="ru-KZ"/>
        </w:rPr>
      </w:pPr>
      <w:r w:rsidRPr="00383D79">
        <w:rPr>
          <w:lang w:val="ru-KZ"/>
        </w:rPr>
        <w:t>From an academic standpoint, this consonance highlights the importance of studying Kazakh history not only within a national framework but also in the wider context of Turkic civilization. The Alash leaders did not merely adopt Pan-Turkist concepts theoretically but endeavored to implement them through concrete socio-political institutions such as the press, education, and legal projects, thus demonstrating the innovative nature of their historical experience.</w:t>
      </w:r>
    </w:p>
    <w:p w14:paraId="31045E10" w14:textId="77777777" w:rsidR="00383D79" w:rsidRPr="00383D79" w:rsidRDefault="00383D79" w:rsidP="00383D79">
      <w:pPr>
        <w:ind w:firstLine="567"/>
        <w:jc w:val="both"/>
        <w:rPr>
          <w:lang w:val="ru-KZ"/>
        </w:rPr>
      </w:pPr>
      <w:r w:rsidRPr="00383D79">
        <w:rPr>
          <w:lang w:val="ru-KZ"/>
        </w:rPr>
        <w:t>When linked to contemporary practice, echoes of this historical interrelation are evident in today’s integration processes between Kazakhstan and other Turkic states. For instance, the Vision of the Turkic World–2040, adopted at the 2021 Summit of the Organization of Turkic States, set strategic goals to strengthen joint policies in education, culture, and history. Likewise, international forums organized by the International Turkic Academy in 2019 discussed the legacy of Alash in the context of Turkic integration, underlining the enduring relevance of the intellectual and cultural renewal initiated by Kazakh leaders.</w:t>
      </w:r>
    </w:p>
    <w:p w14:paraId="0F9969B3" w14:textId="77777777" w:rsidR="00383D79" w:rsidRPr="00383D79" w:rsidRDefault="00383D79" w:rsidP="00383D79">
      <w:pPr>
        <w:ind w:firstLine="567"/>
        <w:jc w:val="both"/>
        <w:rPr>
          <w:lang w:val="ru-KZ"/>
        </w:rPr>
      </w:pPr>
      <w:r w:rsidRPr="00383D79">
        <w:rPr>
          <w:lang w:val="ru-KZ"/>
        </w:rPr>
        <w:t xml:space="preserve">Recent scholarship also reinforces this tendency. Kesici (2017) describes the Alash movement as an ethnopolitical project with lasting implications for contemporary Turkic cooperation. Kalirad (2022) interprets Alash ideas as both a foundation of Kazakh statehood and a framework connected to modern regional integration. Meanwhile, Ye </w:t>
      </w:r>
      <w:r w:rsidRPr="00383D79">
        <w:rPr>
          <w:lang w:val="ru-KZ"/>
        </w:rPr>
        <w:lastRenderedPageBreak/>
        <w:t>(2022) emphasizes the role of enlightenment and cultural codes in sustaining unity across Turkic societies. Collectively, these studies confirm not only the historical relationship between Pan-Turkism and Alash thought but also their significance for present-day integration strategies.</w:t>
      </w:r>
    </w:p>
    <w:p w14:paraId="0B78C25C" w14:textId="5E25D311" w:rsidR="00383D79" w:rsidRPr="00383D79" w:rsidRDefault="00383D79" w:rsidP="00383D79">
      <w:pPr>
        <w:ind w:firstLine="567"/>
        <w:jc w:val="both"/>
        <w:rPr>
          <w:lang w:val="ru-KZ"/>
        </w:rPr>
      </w:pPr>
      <w:r w:rsidRPr="00383D79">
        <w:rPr>
          <w:lang w:val="ru-KZ"/>
        </w:rPr>
        <w:t>In summary, the results contribute to the understanding of Turkic integration, the preservation of shared cultural heritage, and the reinterpretation of national history. The spiritual resonance between Alash and Pan-Turkism continues to remain relevant today, providing a strong ideological basis for strengthening unity and cooperation within the Turkic world.</w:t>
      </w:r>
    </w:p>
    <w:p w14:paraId="00E6A5BD" w14:textId="77777777" w:rsidR="00383D79" w:rsidRDefault="00383D79" w:rsidP="00562592">
      <w:pPr>
        <w:ind w:firstLine="567"/>
        <w:jc w:val="both"/>
        <w:rPr>
          <w:lang w:val="ru-KZ"/>
        </w:rPr>
      </w:pPr>
    </w:p>
    <w:p w14:paraId="03932248" w14:textId="6C1F1E9F" w:rsidR="00562592" w:rsidRPr="00383D79" w:rsidRDefault="00383D79" w:rsidP="00562592">
      <w:pPr>
        <w:ind w:firstLine="567"/>
        <w:jc w:val="both"/>
        <w:rPr>
          <w:b/>
          <w:bCs/>
          <w:lang w:val="ru-KZ"/>
        </w:rPr>
      </w:pPr>
      <w:r w:rsidRPr="00383D79">
        <w:rPr>
          <w:b/>
          <w:bCs/>
          <w:lang w:val="ru-KZ"/>
        </w:rPr>
        <w:t>References</w:t>
      </w:r>
    </w:p>
    <w:p w14:paraId="6968AAB0" w14:textId="059D5CE4"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 xml:space="preserve">Khalid, Adeeb. </w:t>
      </w:r>
      <w:r w:rsidRPr="00383D79">
        <w:rPr>
          <w:i/>
          <w:iCs/>
          <w:color w:val="000000"/>
          <w:sz w:val="20"/>
          <w:szCs w:val="20"/>
          <w:lang w:val="ru-KZ"/>
        </w:rPr>
        <w:t>The Politics of Muslim Cultural Reform: Jadidism in Central Asia.</w:t>
      </w:r>
      <w:r w:rsidRPr="00383D79">
        <w:rPr>
          <w:color w:val="000000"/>
          <w:sz w:val="20"/>
          <w:szCs w:val="20"/>
          <w:lang w:val="ru-KZ"/>
        </w:rPr>
        <w:t xml:space="preserve"> Berkeley: University of California Press, 1999.</w:t>
      </w:r>
    </w:p>
    <w:p w14:paraId="6F691AA5" w14:textId="5E622B7E"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Ye, Tian-Nan. “Unity in Language, Thoughts, Deeds: The Ideas of Ismail Gasprinskii and Conceptualization of Turkic Nationalism.” 2022.</w:t>
      </w:r>
    </w:p>
    <w:p w14:paraId="2E301DAF" w14:textId="5ED54D62"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 xml:space="preserve">Landau, Jacob M. </w:t>
      </w:r>
      <w:r w:rsidRPr="00383D79">
        <w:rPr>
          <w:i/>
          <w:iCs/>
          <w:color w:val="000000"/>
          <w:sz w:val="20"/>
          <w:szCs w:val="20"/>
          <w:lang w:val="ru-KZ"/>
        </w:rPr>
        <w:t>Pan-Turkism: From Irredentism to Cooperation.</w:t>
      </w:r>
      <w:r w:rsidRPr="00383D79">
        <w:rPr>
          <w:color w:val="000000"/>
          <w:sz w:val="20"/>
          <w:szCs w:val="20"/>
          <w:lang w:val="ru-KZ"/>
        </w:rPr>
        <w:t xml:space="preserve"> Bloomington: Indiana University Press, 1995.</w:t>
      </w:r>
    </w:p>
    <w:p w14:paraId="06EF923A" w14:textId="58AF83E0"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kk-KZ"/>
        </w:rPr>
        <w:t>«</w:t>
      </w:r>
      <w:r w:rsidRPr="00383D79">
        <w:rPr>
          <w:color w:val="000000"/>
          <w:sz w:val="20"/>
          <w:szCs w:val="20"/>
          <w:lang w:val="ru-KZ"/>
        </w:rPr>
        <w:t xml:space="preserve">Alash Orda Movement.” </w:t>
      </w:r>
      <w:r w:rsidRPr="00383D79">
        <w:rPr>
          <w:i/>
          <w:iCs/>
          <w:color w:val="000000"/>
          <w:sz w:val="20"/>
          <w:szCs w:val="20"/>
          <w:lang w:val="ru-KZ"/>
        </w:rPr>
        <w:t>Belleten</w:t>
      </w:r>
      <w:r w:rsidRPr="00383D79">
        <w:rPr>
          <w:color w:val="000000"/>
          <w:sz w:val="20"/>
          <w:szCs w:val="20"/>
          <w:lang w:val="ru-KZ"/>
        </w:rPr>
        <w:t xml:space="preserve"> 80 (December 2016)</w:t>
      </w:r>
      <w:r w:rsidRPr="00383D79">
        <w:rPr>
          <w:color w:val="000000"/>
          <w:sz w:val="20"/>
          <w:szCs w:val="20"/>
          <w:lang w:val="kk-KZ"/>
        </w:rPr>
        <w:t>.</w:t>
      </w:r>
    </w:p>
    <w:p w14:paraId="2FC971C5" w14:textId="7126EE20"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 xml:space="preserve">Olcott, Martha Brill. </w:t>
      </w:r>
      <w:r w:rsidRPr="00383D79">
        <w:rPr>
          <w:i/>
          <w:iCs/>
          <w:color w:val="000000"/>
          <w:sz w:val="20"/>
          <w:szCs w:val="20"/>
          <w:lang w:val="ru-KZ"/>
        </w:rPr>
        <w:t>The Kazakhs.</w:t>
      </w:r>
      <w:r w:rsidRPr="00383D79">
        <w:rPr>
          <w:color w:val="000000"/>
          <w:sz w:val="20"/>
          <w:szCs w:val="20"/>
          <w:lang w:val="ru-KZ"/>
        </w:rPr>
        <w:t xml:space="preserve"> Stanford: Hoover Institution Press, 1987.</w:t>
      </w:r>
    </w:p>
    <w:p w14:paraId="5E1E5CF8" w14:textId="39D30D5F"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 xml:space="preserve">Kesici, Ömer. “The Alash Movement and the Question of Kazakh Ethnicity.” </w:t>
      </w:r>
      <w:r w:rsidRPr="00383D79">
        <w:rPr>
          <w:i/>
          <w:iCs/>
          <w:color w:val="000000"/>
          <w:sz w:val="20"/>
          <w:szCs w:val="20"/>
          <w:lang w:val="ru-KZ"/>
        </w:rPr>
        <w:t>Nationalities Papers</w:t>
      </w:r>
      <w:r w:rsidRPr="00383D79">
        <w:rPr>
          <w:color w:val="000000"/>
          <w:sz w:val="20"/>
          <w:szCs w:val="20"/>
          <w:lang w:val="ru-KZ"/>
        </w:rPr>
        <w:t xml:space="preserve"> 45, no. 2 (2017): 1–19.</w:t>
      </w:r>
    </w:p>
    <w:p w14:paraId="4DE17E18" w14:textId="604D665A"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 xml:space="preserve">Kalirad, A. “The Alash Movement and the Emergence of Kazakhstan.” </w:t>
      </w:r>
      <w:r w:rsidRPr="00383D79">
        <w:rPr>
          <w:i/>
          <w:iCs/>
          <w:color w:val="000000"/>
          <w:sz w:val="20"/>
          <w:szCs w:val="20"/>
          <w:lang w:val="ru-KZ"/>
        </w:rPr>
        <w:t>Political Thought in Eurasia</w:t>
      </w:r>
      <w:r w:rsidRPr="00383D79">
        <w:rPr>
          <w:color w:val="000000"/>
          <w:sz w:val="20"/>
          <w:szCs w:val="20"/>
          <w:lang w:val="ru-KZ"/>
        </w:rPr>
        <w:t xml:space="preserve"> (2022).</w:t>
      </w:r>
    </w:p>
    <w:p w14:paraId="5EAF3D0D" w14:textId="3B9FFE5E" w:rsidR="000026D7" w:rsidRPr="00383D79" w:rsidRDefault="000026D7" w:rsidP="00482A78">
      <w:pPr>
        <w:pStyle w:val="a7"/>
        <w:numPr>
          <w:ilvl w:val="0"/>
          <w:numId w:val="4"/>
        </w:numPr>
        <w:spacing w:before="0" w:beforeAutospacing="0" w:after="0" w:afterAutospacing="0"/>
        <w:ind w:left="0" w:firstLine="567"/>
        <w:jc w:val="both"/>
        <w:rPr>
          <w:i/>
          <w:iCs/>
          <w:color w:val="000000"/>
          <w:sz w:val="20"/>
          <w:szCs w:val="20"/>
          <w:lang w:val="kk-KZ"/>
        </w:rPr>
      </w:pPr>
      <w:r w:rsidRPr="00383D79">
        <w:rPr>
          <w:color w:val="000000"/>
          <w:sz w:val="20"/>
          <w:szCs w:val="20"/>
          <w:lang w:val="ru-KZ"/>
        </w:rPr>
        <w:t xml:space="preserve">Landau, J. M. </w:t>
      </w:r>
      <w:r w:rsidRPr="00383D79">
        <w:rPr>
          <w:i/>
          <w:iCs/>
          <w:color w:val="000000"/>
          <w:sz w:val="20"/>
          <w:szCs w:val="20"/>
          <w:lang w:val="ru-KZ"/>
        </w:rPr>
        <w:t>Pan-Turkism: From Irredentism to Cooperation</w:t>
      </w:r>
    </w:p>
    <w:p w14:paraId="03C60FDE" w14:textId="63F34415" w:rsidR="000026D7" w:rsidRPr="00383D79" w:rsidRDefault="000026D7" w:rsidP="00482A78">
      <w:pPr>
        <w:pStyle w:val="a7"/>
        <w:numPr>
          <w:ilvl w:val="0"/>
          <w:numId w:val="4"/>
        </w:numPr>
        <w:spacing w:before="0" w:beforeAutospacing="0" w:after="0" w:afterAutospacing="0"/>
        <w:ind w:left="0" w:firstLine="567"/>
        <w:jc w:val="both"/>
        <w:rPr>
          <w:i/>
          <w:iCs/>
          <w:color w:val="000000"/>
          <w:sz w:val="20"/>
          <w:szCs w:val="20"/>
          <w:lang w:val="kk-KZ"/>
        </w:rPr>
      </w:pPr>
      <w:r w:rsidRPr="00383D79">
        <w:rPr>
          <w:color w:val="000000"/>
          <w:sz w:val="20"/>
          <w:szCs w:val="20"/>
          <w:lang w:val="ru-KZ"/>
        </w:rPr>
        <w:t xml:space="preserve">Khalid, A. </w:t>
      </w:r>
      <w:r w:rsidRPr="00383D79">
        <w:rPr>
          <w:i/>
          <w:iCs/>
          <w:color w:val="000000"/>
          <w:sz w:val="20"/>
          <w:szCs w:val="20"/>
          <w:lang w:val="ru-KZ"/>
        </w:rPr>
        <w:t>The Politics of Muslim Cultural Reform: Jadidism in Central Asia.</w:t>
      </w:r>
    </w:p>
    <w:p w14:paraId="605B5997" w14:textId="233661D9" w:rsidR="000026D7" w:rsidRPr="00383D79" w:rsidRDefault="000026D7" w:rsidP="00482A78">
      <w:pPr>
        <w:pStyle w:val="a7"/>
        <w:numPr>
          <w:ilvl w:val="0"/>
          <w:numId w:val="4"/>
        </w:numPr>
        <w:spacing w:before="0" w:beforeAutospacing="0" w:after="0" w:afterAutospacing="0"/>
        <w:ind w:left="0" w:firstLine="567"/>
        <w:jc w:val="both"/>
        <w:rPr>
          <w:i/>
          <w:iCs/>
          <w:color w:val="000000"/>
          <w:sz w:val="20"/>
          <w:szCs w:val="20"/>
          <w:lang w:val="kk-KZ"/>
        </w:rPr>
      </w:pPr>
      <w:r w:rsidRPr="00383D79">
        <w:rPr>
          <w:color w:val="000000"/>
          <w:sz w:val="20"/>
          <w:szCs w:val="20"/>
          <w:lang w:val="ru-KZ"/>
        </w:rPr>
        <w:t xml:space="preserve">Olcott, M. B. </w:t>
      </w:r>
      <w:r w:rsidRPr="00383D79">
        <w:rPr>
          <w:i/>
          <w:iCs/>
          <w:color w:val="000000"/>
          <w:sz w:val="20"/>
          <w:szCs w:val="20"/>
          <w:lang w:val="ru-KZ"/>
        </w:rPr>
        <w:t>The Kazakhs.</w:t>
      </w:r>
    </w:p>
    <w:p w14:paraId="2B88DA90" w14:textId="311680B2"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Kesici, Ö. “The Alash Movement and the Question of Kazakh Ethnicity.”</w:t>
      </w:r>
    </w:p>
    <w:p w14:paraId="3C357E96" w14:textId="2178BC74" w:rsidR="000026D7" w:rsidRPr="00383D79" w:rsidRDefault="000026D7" w:rsidP="00482A78">
      <w:pPr>
        <w:pStyle w:val="a7"/>
        <w:numPr>
          <w:ilvl w:val="0"/>
          <w:numId w:val="4"/>
        </w:numPr>
        <w:spacing w:before="0" w:beforeAutospacing="0" w:after="0" w:afterAutospacing="0"/>
        <w:ind w:left="0" w:firstLine="567"/>
        <w:jc w:val="both"/>
        <w:rPr>
          <w:color w:val="000000"/>
          <w:sz w:val="20"/>
          <w:szCs w:val="20"/>
          <w:lang w:val="kk-KZ"/>
        </w:rPr>
      </w:pPr>
      <w:r w:rsidRPr="00383D79">
        <w:rPr>
          <w:color w:val="000000"/>
          <w:sz w:val="20"/>
          <w:szCs w:val="20"/>
          <w:lang w:val="ru-KZ"/>
        </w:rPr>
        <w:t>Kalirad, A. “The Alash Movement and the Emergence of Kazakhstan.”</w:t>
      </w:r>
    </w:p>
    <w:p w14:paraId="12875C70" w14:textId="187BE649" w:rsidR="00562592" w:rsidRPr="000026D7" w:rsidRDefault="00562592" w:rsidP="000026D7">
      <w:pPr>
        <w:pStyle w:val="a7"/>
        <w:spacing w:before="0" w:beforeAutospacing="0" w:after="0" w:afterAutospacing="0"/>
        <w:ind w:left="697" w:hanging="697"/>
        <w:jc w:val="both"/>
        <w:rPr>
          <w:sz w:val="20"/>
          <w:szCs w:val="20"/>
          <w:lang w:val="kk-KZ"/>
        </w:rPr>
      </w:pPr>
    </w:p>
    <w:p w14:paraId="6448266A" w14:textId="3E96D1CA" w:rsidR="007E6C48" w:rsidRPr="00383D79" w:rsidRDefault="007E6C48" w:rsidP="000026D7">
      <w:pPr>
        <w:spacing w:after="0"/>
        <w:jc w:val="both"/>
        <w:rPr>
          <w:lang w:val="kk-KZ"/>
        </w:rPr>
      </w:pPr>
    </w:p>
    <w:sectPr w:rsidR="007E6C48" w:rsidRPr="00383D79" w:rsidSect="0092134C">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9D2CE" w14:textId="77777777" w:rsidR="002F7D33" w:rsidRDefault="002F7D33" w:rsidP="008F3CF7">
      <w:pPr>
        <w:spacing w:after="0" w:line="240" w:lineRule="auto"/>
      </w:pPr>
      <w:r>
        <w:separator/>
      </w:r>
    </w:p>
  </w:endnote>
  <w:endnote w:type="continuationSeparator" w:id="0">
    <w:p w14:paraId="35E6C752" w14:textId="77777777" w:rsidR="002F7D33" w:rsidRDefault="002F7D33" w:rsidP="008F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EC2B5" w14:textId="77777777" w:rsidR="002F7D33" w:rsidRDefault="002F7D33" w:rsidP="008F3CF7">
      <w:pPr>
        <w:spacing w:after="0" w:line="240" w:lineRule="auto"/>
      </w:pPr>
      <w:r>
        <w:separator/>
      </w:r>
    </w:p>
  </w:footnote>
  <w:footnote w:type="continuationSeparator" w:id="0">
    <w:p w14:paraId="6EF6A992" w14:textId="77777777" w:rsidR="002F7D33" w:rsidRDefault="002F7D33" w:rsidP="008F3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429FC"/>
    <w:multiLevelType w:val="multilevel"/>
    <w:tmpl w:val="8DA69C48"/>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981"/>
    <w:multiLevelType w:val="multilevel"/>
    <w:tmpl w:val="CD74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44069"/>
    <w:multiLevelType w:val="hybridMultilevel"/>
    <w:tmpl w:val="5A5842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90A3FAB"/>
    <w:multiLevelType w:val="hybridMultilevel"/>
    <w:tmpl w:val="38EAE2D6"/>
    <w:lvl w:ilvl="0" w:tplc="C164C60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7F4E2F9D"/>
    <w:multiLevelType w:val="multilevel"/>
    <w:tmpl w:val="B15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60"/>
    <w:rsid w:val="000026D7"/>
    <w:rsid w:val="000112FC"/>
    <w:rsid w:val="000D37C7"/>
    <w:rsid w:val="000E6834"/>
    <w:rsid w:val="001F1D01"/>
    <w:rsid w:val="00203F35"/>
    <w:rsid w:val="0029219D"/>
    <w:rsid w:val="002F0CD8"/>
    <w:rsid w:val="002F7D33"/>
    <w:rsid w:val="00383D79"/>
    <w:rsid w:val="003F1308"/>
    <w:rsid w:val="0041350F"/>
    <w:rsid w:val="004248FD"/>
    <w:rsid w:val="004412CB"/>
    <w:rsid w:val="00482A78"/>
    <w:rsid w:val="00503BEA"/>
    <w:rsid w:val="0052680A"/>
    <w:rsid w:val="00562592"/>
    <w:rsid w:val="00562612"/>
    <w:rsid w:val="005C431C"/>
    <w:rsid w:val="006F5DE6"/>
    <w:rsid w:val="00782991"/>
    <w:rsid w:val="007D097B"/>
    <w:rsid w:val="007E6C48"/>
    <w:rsid w:val="008214BC"/>
    <w:rsid w:val="00832F7B"/>
    <w:rsid w:val="008F3CF7"/>
    <w:rsid w:val="0092134C"/>
    <w:rsid w:val="00992622"/>
    <w:rsid w:val="00A2374E"/>
    <w:rsid w:val="00A44DCC"/>
    <w:rsid w:val="00B05458"/>
    <w:rsid w:val="00B42D82"/>
    <w:rsid w:val="00BA5199"/>
    <w:rsid w:val="00BD7ED3"/>
    <w:rsid w:val="00C23518"/>
    <w:rsid w:val="00C2713C"/>
    <w:rsid w:val="00CE2140"/>
    <w:rsid w:val="00CE4792"/>
    <w:rsid w:val="00D1071B"/>
    <w:rsid w:val="00D1326B"/>
    <w:rsid w:val="00D13760"/>
    <w:rsid w:val="00D72FA9"/>
    <w:rsid w:val="00D835B7"/>
    <w:rsid w:val="00E0766C"/>
    <w:rsid w:val="00E11FEB"/>
    <w:rsid w:val="00E41BF7"/>
    <w:rsid w:val="00E75DC9"/>
    <w:rsid w:val="00F6078B"/>
    <w:rsid w:val="00FD246D"/>
    <w:rsid w:val="00FF75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606B"/>
  <w15:chartTrackingRefBased/>
  <w15:docId w15:val="{ABD274F3-F416-430E-B222-C37FAC45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F3CF7"/>
    <w:pPr>
      <w:spacing w:after="0" w:line="240" w:lineRule="auto"/>
    </w:pPr>
    <w:rPr>
      <w:sz w:val="20"/>
      <w:szCs w:val="20"/>
    </w:rPr>
  </w:style>
  <w:style w:type="character" w:customStyle="1" w:styleId="a4">
    <w:name w:val="Текст сноски Знак"/>
    <w:basedOn w:val="a0"/>
    <w:link w:val="a3"/>
    <w:uiPriority w:val="99"/>
    <w:rsid w:val="008F3CF7"/>
    <w:rPr>
      <w:sz w:val="20"/>
      <w:szCs w:val="20"/>
    </w:rPr>
  </w:style>
  <w:style w:type="character" w:styleId="a5">
    <w:name w:val="footnote reference"/>
    <w:aliases w:val="Dipnot metni"/>
    <w:uiPriority w:val="99"/>
    <w:rsid w:val="008F3CF7"/>
    <w:rPr>
      <w:vertAlign w:val="superscript"/>
    </w:rPr>
  </w:style>
  <w:style w:type="paragraph" w:styleId="2">
    <w:name w:val="Body Text Indent 2"/>
    <w:basedOn w:val="a"/>
    <w:link w:val="20"/>
    <w:uiPriority w:val="99"/>
    <w:semiHidden/>
    <w:unhideWhenUsed/>
    <w:rsid w:val="00F6078B"/>
    <w:pPr>
      <w:spacing w:before="120" w:after="120" w:line="480" w:lineRule="auto"/>
      <w:ind w:left="283"/>
    </w:pPr>
    <w:rPr>
      <w:rFonts w:asciiTheme="minorHAnsi" w:hAnsiTheme="minorHAnsi" w:cstheme="minorBidi"/>
    </w:rPr>
  </w:style>
  <w:style w:type="character" w:customStyle="1" w:styleId="20">
    <w:name w:val="Основной текст с отступом 2 Знак"/>
    <w:basedOn w:val="a0"/>
    <w:link w:val="2"/>
    <w:uiPriority w:val="99"/>
    <w:semiHidden/>
    <w:rsid w:val="00F6078B"/>
    <w:rPr>
      <w:rFonts w:asciiTheme="minorHAnsi" w:hAnsiTheme="minorHAnsi" w:cstheme="minorBidi"/>
    </w:rPr>
  </w:style>
  <w:style w:type="paragraph" w:styleId="a6">
    <w:name w:val="List Paragraph"/>
    <w:basedOn w:val="a"/>
    <w:uiPriority w:val="34"/>
    <w:qFormat/>
    <w:rsid w:val="007E6C48"/>
    <w:pPr>
      <w:ind w:left="720"/>
      <w:contextualSpacing/>
    </w:pPr>
  </w:style>
  <w:style w:type="paragraph" w:styleId="a7">
    <w:name w:val="Normal (Web)"/>
    <w:basedOn w:val="a"/>
    <w:uiPriority w:val="99"/>
    <w:unhideWhenUsed/>
    <w:rsid w:val="00562592"/>
    <w:pPr>
      <w:spacing w:before="100" w:beforeAutospacing="1" w:after="100" w:afterAutospacing="1" w:line="240" w:lineRule="auto"/>
    </w:pPr>
    <w:rPr>
      <w:rFonts w:eastAsia="Times New Roman"/>
      <w:sz w:val="24"/>
      <w:szCs w:val="24"/>
      <w:lang w:eastAsia="tr-TR"/>
    </w:rPr>
  </w:style>
  <w:style w:type="character" w:styleId="a8">
    <w:name w:val="Hyperlink"/>
    <w:basedOn w:val="a0"/>
    <w:uiPriority w:val="99"/>
    <w:unhideWhenUsed/>
    <w:rsid w:val="00562592"/>
    <w:rPr>
      <w:color w:val="0000FF"/>
      <w:u w:val="single"/>
    </w:rPr>
  </w:style>
  <w:style w:type="table" w:styleId="a9">
    <w:name w:val="Table Grid"/>
    <w:basedOn w:val="a1"/>
    <w:uiPriority w:val="39"/>
    <w:rsid w:val="0000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82151">
      <w:bodyDiv w:val="1"/>
      <w:marLeft w:val="0"/>
      <w:marRight w:val="0"/>
      <w:marTop w:val="0"/>
      <w:marBottom w:val="0"/>
      <w:divBdr>
        <w:top w:val="none" w:sz="0" w:space="0" w:color="auto"/>
        <w:left w:val="none" w:sz="0" w:space="0" w:color="auto"/>
        <w:bottom w:val="none" w:sz="0" w:space="0" w:color="auto"/>
        <w:right w:val="none" w:sz="0" w:space="0" w:color="auto"/>
      </w:divBdr>
    </w:div>
    <w:div w:id="1151755442">
      <w:bodyDiv w:val="1"/>
      <w:marLeft w:val="0"/>
      <w:marRight w:val="0"/>
      <w:marTop w:val="0"/>
      <w:marBottom w:val="0"/>
      <w:divBdr>
        <w:top w:val="none" w:sz="0" w:space="0" w:color="auto"/>
        <w:left w:val="none" w:sz="0" w:space="0" w:color="auto"/>
        <w:bottom w:val="none" w:sz="0" w:space="0" w:color="auto"/>
        <w:right w:val="none" w:sz="0" w:space="0" w:color="auto"/>
      </w:divBdr>
    </w:div>
    <w:div w:id="19081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ym_amanzholkyzy@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762-410X" TargetMode="External"/><Relationship Id="rId5" Type="http://schemas.openxmlformats.org/officeDocument/2006/relationships/webSettings" Target="webSettings.xml"/><Relationship Id="rId10" Type="http://schemas.openxmlformats.org/officeDocument/2006/relationships/hyperlink" Target="mailto:necatidemir@gazi.edu.tr" TargetMode="External"/><Relationship Id="rId4" Type="http://schemas.openxmlformats.org/officeDocument/2006/relationships/settings" Target="settings.xml"/><Relationship Id="rId9" Type="http://schemas.openxmlformats.org/officeDocument/2006/relationships/hyperlink" Target="https://orcid.org/0009-00002156-8621"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C28B-3E9F-4D98-86EF-D8CA6CB2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3855</Words>
  <Characters>21980</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Demir</dc:creator>
  <cp:keywords/>
  <dc:description/>
  <cp:lastModifiedBy>Admin</cp:lastModifiedBy>
  <cp:revision>19</cp:revision>
  <dcterms:created xsi:type="dcterms:W3CDTF">2021-03-25T05:22:00Z</dcterms:created>
  <dcterms:modified xsi:type="dcterms:W3CDTF">2025-08-29T09:36:00Z</dcterms:modified>
</cp:coreProperties>
</file>